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32"/>
          <w:szCs w:val="32"/>
          <w:lang w:val="cy-GB" w:eastAsia="cy-GB" w:bidi="cy-GB"/>
        </w:rPr>
      </w:pPr>
      <w:r>
        <w:drawing>
          <wp:anchor distT="0" distB="0" distL="114300" distR="114300" simplePos="0" relativeHeight="251659263" behindDoc="0" locked="0" layoutInCell="1" hidden="0" allowOverlap="1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wrapSquare wrapText="bothSides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b/>
          <w:bCs/>
          <w:sz w:val="32"/>
          <w:szCs w:val="32"/>
          <w:lang w:val="cy-GB" w:eastAsia="cy-GB" w:bidi="cy-GB"/>
        </w:rPr>
        <w:t xml:space="preserve">Disgrifiad Swydd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60"/>
      </w:tblGrid>
      <w:tr>
        <w:trPr>
          <w:trHeight w:val="455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Côd Gwerthuso’r Swydd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000008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6866"/>
      </w:tblGrid>
      <w:tr>
        <w:trPr>
          <w:trHeight w:val="407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Teitl y Swydd</w:t>
            </w:r>
          </w:p>
        </w:tc>
        <w:tc>
          <w:tcPr>
            <w:tcW w:w="6866" w:type="dxa"/>
            <w:shd w:val="clear" w:color="auto" w:fill="B8CCE4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Uwch-gynghorydd AD (Trawsnewid Gwobrwyo)</w:t>
            </w:r>
          </w:p>
        </w:tc>
      </w:tr>
      <w:tr>
        <w:trPr>
          <w:trHeight w:val="413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Ysgol/Adran/Coleg</w:t>
            </w:r>
          </w:p>
        </w:tc>
        <w:tc>
          <w:tcPr>
            <w:tcW w:w="686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Datblygu'r Sefydliad a'r Staff, Adnoddau Dynol</w:t>
            </w:r>
          </w:p>
        </w:tc>
      </w:tr>
      <w:tr>
        <w:trPr>
          <w:trHeight w:val="419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Gradd y Swydd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6</w:t>
            </w:r>
          </w:p>
        </w:tc>
      </w:tr>
      <w:tr>
        <w:trPr>
          <w:trHeight w:val="419" w:hRule="atLeast"/>
        </w:trPr>
        <w:tc>
          <w:tcPr>
            <w:tcW w:w="259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Llwybr Gyrfaol</w:t>
            </w:r>
          </w:p>
        </w:tc>
        <w:tc>
          <w:tcPr>
            <w:tcW w:w="686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MPSS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Strwythur y Sefydliad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8"/>
      </w:tblGrid>
      <w:tr>
        <w:trPr>
          <w:trHeight w:val="419" w:hRule="atLeast"/>
        </w:trPr>
        <w:tc>
          <w:tcPr>
            <w:tcW w:w="9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i/>
                <w:iCs/>
                <w:sz w:val="20"/>
                <w:szCs w:val="20"/>
                <w:lang w:val="cy-GB" w:eastAsia="cy-GB" w:bidi="cy-GB"/>
              </w:rPr>
              <w:t xml:space="preserve">Dylech gynnwys siart o’r sefydliad, os oes un ar gael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902"/>
      </w:tblGrid>
      <w:tr>
        <w:trPr>
          <w:trHeight w:val="419" w:hRule="atLeast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Yn atebol i</w:t>
            </w:r>
          </w:p>
        </w:tc>
        <w:tc>
          <w:tcPr>
            <w:tcW w:w="69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Rheolwr Gwobrwyo AD</w:t>
            </w:r>
          </w:p>
        </w:tc>
      </w:tr>
      <w:tr>
        <w:trPr>
          <w:trHeight w:val="419" w:hRule="atLeast"/>
        </w:trPr>
        <w:tc>
          <w:tcPr>
            <w:tcW w:w="2376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Yn gyfrifol am</w:t>
            </w:r>
          </w:p>
        </w:tc>
        <w:tc>
          <w:tcPr>
            <w:tcW w:w="690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Diben y Swydd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Bydd yr Uwch-ymgynghorydd AD (Trawsnewid Gwobrwyo) yn chwarae rhan allweddol yn natblygiad, gweithrediad a gwelliant parhaus fframwaith gwobrwyo'r Brifysgol yn ystod cyfnod o drawsnewid sefydliadol. Bydd deiliad y swydd yn cynnig arbenigedd mewn strwythurau cyflog, dadansoddeg gwobrwyo, a gwerthuso swyddi, gan sicrhau bod arferion gwobrwyo yn deg, yn dryloyw, ac yn cyd-fynd â strategaeth sefydliadol a'r sector Addysg Uwch.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Un o brif ffocysau’r rôl fydd cefnogi’r broses drawsnewid a’r newid diwylliannol mewn gwobrwyo yn y Brifysgol, gan ymgorffori dulliau o ymdrin â chyflog a graddio sy’n gyson, yn seiliedig ar dystiolaeth ac yn gynhwysol. Bydd y rôl yn helpu i lunio dealltwriaeth o egwyddorion gwobrwyo ar draws y Brifysgol, gan hyrwyddo tryloywder, tegwch ac atebolrwydd wrth wneud penderfyniadau.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Bydd deiliad y swydd hefyd yn cyfrannu at agenda Cydraddoldeb, Amrywiaeth a Chynhwysiant y Brifysgol drwy ddadansoddiadau cadarn o gyflogau, arferion gwerthuso swyddi teg, a thrwy nodi a lleihau bylchau cyflog yn rhagweithiol.</w:t>
            </w:r>
          </w:p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.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Dyletswyddau a Chyfrifoldebau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Prif Ddyletswyddau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Rhoi cyngor ac arweiniad proffesiynol ar brosesau a gweithdrefnau sy’n ymwneud â gwobrwyo i gwsmeriaid mewnol ac allanol a fydd yn cael effaith ar draws y sefydliad. Defnyddio crebwyll a chreadigrwydd wrth awgrymu'r camau mwyaf priodol i'w cymryd lle y bo'n briodol, a sicrhau bod materion cymhleth a chysyniadol yn cael eu deall. Bydd hyn yn cynnwys: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O dan arweinyddiaeth Rheolwr Gwobrwyo AD, cyflawni'r gwaith o ddylunio, adolygu a gweithredu strwythurau cyflog, fframweithiau graddio a pholisïau gwobrwyo ar draws y Brifysgol yn ôl yr angen gan y broses drawsnewid. 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Hyrwyddo cymhwyso cyson o egwyddorion gwobrwyo, gan herio anghysondeb neu annhegwch lle cânt eu nodi. 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Cefnogi datblygiad fframweithiau gwobrwyo clir sy'n gwella dealltwriaeth, ymddiriedaeth ac ymgysylltiad ymhlith staff. 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Gweithio gyda chydweithwyr AD i gefnogi gwaith cynllunio'r gweithlu a gwobrwyo penderfyniadau.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Bod yn gyfrifol am ddatrys problemau'n annibynnol yn y tîm gwobrwyo os yw'r problemau'n ymwneud ag amcanion penodol y swydd. Bydd hyn yn cynnwys: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Arwain a rheoli'r prosesau gwerthuso swyddi (e.e. HERA neu gyfwerth), gan sicrhau tegwch a chysondeb ar draws y sefydliad. 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Meithrin a chryfhau hyder sefydliadol mewn gwerthuso swyddi fel proses dryloyw a chyfartal. 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Cynnig arweiniad a hyfforddiant arbenigol i reolwyr i wella ansawdd a chysondeb dogfennaeth rôl a chanlyniadau gwerthuso. 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Cynnal archwiliadau rheolaidd i nodi tueddiadau, risgiau neu anghysondebau ac argymell gwelliannau.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Ymchwilio a dadansoddi materion penodol yn y tîm gwobrwyo, gan greu adroddiadau gydag argymhellion a gefnogir gan ddatblygiadau ym maes gwobrwyo, cyflog a buddion. Bydd hyn yn cynnwys: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Cyflwyno dadansoddiad o ansawdd uchel o ddata cyflog a gwobrwyo i lywio penderfyniadau strategol a newid diwylliannol.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Llunio a chefnogi adroddiadau rheolaidd ar y bwlch cyflog rhwng y rhywiau, y bwlch cyflog o ran ethnigrwydd, a metrigau Cydraddoldeb, Amrywiaeth a Chynhwysiant eraill, gan gynnig mewnwelediad ac argymhellion.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Defnyddio data i herio arferion presennol ac ysgogi gwelliannau mewn tegwch a chystadleurwydd.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left="108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Cefnogi meincnodi yn erbyn y sector Addysg Uwch a marchnadoedd allanol.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Cynnig cyngor ac arweiniad arbenigol i Bartneriaid Busnes AD, rheolwyr, a rhanddeiliaid uwch ar faterion gwobrwyo, gan newid y ddarpariaeth yn rhagweithiol yn unol â gofynion y cwsmer.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Meithrin perthynas waith ag enwau cyswllt allweddol, gan greu cysylltiadau cyfathrebu priodol ag Ysgolion/Cyfarwyddiaethau'r Brifysgol a chyrff allanol yn ôl yr angen.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Arwain gweithgorau penodol o gydweithwyr ar draws y Brifysgol yn ôl yr angen.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Arwain neu gyfrannu at brosiectau sy'n gysylltiedig â gwobrwyo, gan gynnwys adolygiadau cyflog, newidiadau strwythurol a datblygu polisïau, gan arwain timau yn ôl yr angen.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Dylunio a chyflwyno hyfforddiant i reolwyr a chydweithwyr AD ar wobrwyo, gwerthuso swyddi, a gwneud penderfyniadau cyflog, gan feithrin gallu sefydliadol i ddeall egwyddorion gwobrwyo a'u cymhwysiad a chefnogi newid ymddygiad drwy wella hyder a chymhwysedd mewn penderfyniadau sy'n ymwneud â gwobrwyo.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Cyflawni ystod o ddyletswyddau gweinyddol i gefnogi'r adran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lang w:val="cy-GB" w:eastAsia="cy-GB" w:bidi="cy-GB"/>
              </w:rPr>
              <w:t xml:space="preserve">Dyletswyddau Cyffredinol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Sicrhau eich bod yn defnyddio eich dealltwriaeth o bwysigrwydd cyfrinachedd wrth gyflawni pob dyletswydd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Cadw at bolisïau'r Brifysgol o ran Iechyd a Diogelwch a Chydraddoldeb ac Amrywiaeth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  <w:ind w:left="360" w:hanging="360"/>
              <w:jc w:val="both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Cyflawni dyletswyddau eraill o bryd i'w gilydd nad ydynt wedi’u nodi uchod ond sy’n cyd-fynd â gofynion y swydd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b/>
          <w:bCs/>
          <w:sz w:val="20"/>
          <w:szCs w:val="20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Manyleb yr Unigolyn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rPr>
          <w:trHeight w:val="455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Meini Prawf Hanfodol (hyd at 10)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Cymwysterau ac Addysg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567" w:hanging="425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Gradd/NVQ Lefel 5, neu aelodaeth / profiad proffesiynol sy’n cyfateb iddo.  Lefel Cydymaith CIPD neu'n gweithio tuag ato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Gwybodaeth, Sgiliau a Phrofiad</w:t>
            </w:r>
          </w:p>
          <w:p>
            <w:pPr>
              <w:pStyle w:val="ListParagraph"/>
              <w:tabs>
                <w:tab w:val="left" w:pos="50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2.   Profiad sylweddol mewn dadansoddeg gwobrwyo, iawndal ac AD o fewn sefydliad cymhleth (mae AU yn ddymunol) gyda dealltwriaeth gref o egwyddorion Cydraddoldeb, Amrywiaeth a Chynhwysiant a chyflog cyfartal ar waith. 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3.   Profiad amlwg o gefnogi dylunio ac adolygu strwythur cyflog. 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4.   Profiad cryf mewn cynlluniau gwerthuso swyddi (e.e. HERA neu gyfwerth). 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567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Gwasanaeth i Gwsmeriaid, Cyfathrebu a Gweithio’n Rhan o Dîm</w:t>
              <w:br w:type="textWrapping"/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5.   Y gallu i gyfleu gwybodaeth gysyniadol fanwl a chymhleth yn effeithiol ac yn broffesiynol i ystod eang o bobl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6.   Profiad o gefnogi neu ddylanwadu ar newid diwylliannol neu ymddygiadol mewn amgylcheddau AD neu wobrwyo.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7.   Gallu diamheuol i ddatblygu rhwydweithiau er mwyn cyfrannu at ddatblygiadau hirdymor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8.   Profiad o gynnal hyfforddiant a meithrin gallu mewn rheolwyr neu gydweithwyr.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567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tabs>
                <w:tab w:val="left" w:pos="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42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u w:val="single"/>
                <w:lang w:val="cy-GB" w:eastAsia="cy-GB" w:bidi="cy-GB"/>
              </w:rPr>
              <w:t xml:space="preserve">Cynllunio, Dadansoddi a Datrys Problemau</w:t>
              <w:br w:type="textWrapping"/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9.   Tystiolaeth o’r gallu i ddatrys problemau sylweddol drwy gymryd y cam cyntaf a bod yn greadigol, gan ganfod a chynnig atebion ymarferol ac arloesol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  <w:t xml:space="preserve">10. Profiad amlwg o ddadansoddi data gwobrwyo, gan gynnwys adrodd ar fylchau cyflog. </w:t>
            </w:r>
          </w:p>
          <w:p>
            <w:pPr>
              <w:pStyle w:val="ListParagraph"/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567"/>
              <w:rPr>
                <w:rFonts w:ascii="Arial" w:hAnsi="Arial" w:eastAsia="Arial" w:cs="Arial"/>
                <w:color w:val="000000"/>
                <w:sz w:val="20"/>
                <w:szCs w:val="20"/>
                <w:lang w:val="cy-GB" w:eastAsia="cy-GB" w:bidi="cy-GB"/>
              </w:rPr>
            </w:pPr>
          </w:p>
        </w:tc>
      </w:tr>
      <w:tr>
        <w:trPr>
          <w:trHeight w:val="433" w:hRule="atLeast"/>
        </w:trPr>
        <w:tc>
          <w:tcPr>
            <w:tcW w:w="9242" w:type="dxa"/>
            <w:shd w:val="clear" w:color="auto" w:fill="auto"/>
            <w:vAlign w:val="center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Meini Prawf Dymunol (os yn briodol)</w:t>
            </w:r>
          </w:p>
        </w:tc>
      </w:tr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</w:p>
          <w:p>
            <w:pPr>
              <w:pStyle w:val="ListParagraph"/>
              <w:tabs>
                <w:tab w:val="left" w:pos="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1.   Cymhwyster ôl-raddedig / proffesiynol</w:t>
            </w:r>
          </w:p>
          <w:p>
            <w:pPr>
              <w:pStyle w:val="ListParagraph"/>
              <w:tabs>
                <w:tab w:val="left" w:pos="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2.   Profiad o weithio ym myd Addysg Uwch</w:t>
            </w:r>
          </w:p>
          <w:p>
            <w:pPr>
              <w:pStyle w:val="ListParagraph"/>
              <w:tabs>
                <w:tab w:val="left" w:pos="14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0"/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cy-GB" w:eastAsia="cy-GB" w:bidi="cy-GB"/>
              </w:rPr>
              <w:t xml:space="preserve">3.   Rhugl yn y Gymraeg, yn ysgrifenedig ac ar lafar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 w:line="240" w:lineRule="auto"/>
        <w:rPr>
          <w:rFonts w:ascii="Arial" w:hAnsi="Arial" w:eastAsia="Arial" w:cs="Arial"/>
          <w:b/>
          <w:bCs/>
          <w:lang w:val="cy-GB" w:eastAsia="cy-GB" w:bidi="cy-GB"/>
        </w:rPr>
      </w:pPr>
      <w:r>
        <w:rPr>
          <w:rFonts w:ascii="Arial" w:hAnsi="Arial" w:eastAsia="Arial" w:cs="Arial"/>
          <w:b/>
          <w:bCs/>
          <w:lang w:val="cy-GB" w:eastAsia="cy-GB" w:bidi="cy-GB"/>
        </w:rPr>
        <w:t xml:space="preserve">Gwybodaeth ychwanegol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c>
          <w:tcPr>
            <w:tcW w:w="924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cy-GB" w:eastAsia="cy-GB" w:bidi="cy-GB"/>
              </w:rPr>
            </w:pP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hAnsi="Arial" w:eastAsia="Arial" w:cs="Arial"/>
                <w:lang w:val="cy-GB" w:eastAsia="cy-GB" w:bidi="cy-GB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cy-GB" w:eastAsia="cy-GB" w:bidi="cy-GB"/>
        </w:rPr>
      </w:pPr>
    </w:p>
    <w:sectPr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  <w:lvl w:ilvl="1">
      <w:start w:val="1"/>
      <w:numFmt w:val="bullet"/>
      <w:suff w:val="tab"/>
      <w:lvlText w:val="o"/>
      <w:pPr>
        <w:ind w:left="1080" w:hanging="360"/>
        <w:tabs>
          <w:tab w:val="num" w:pos="1080"/>
        </w:tabs>
      </w:pPr>
      <w:rPr>
        <w:rFonts w:hint="default" w:ascii="Courier New" w:hAnsi="Courier New" w:eastAsia="Courier New" w:cs="Courier New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  <w:lvl w:ilvl="2">
      <w:start w:val="1"/>
      <w:numFmt w:val="bullet"/>
      <w:suff w:val="tab"/>
      <w:lvlText w:val=""/>
      <w:pPr>
        <w:ind w:left="1080" w:hanging="360"/>
        <w:tabs>
          <w:tab w:val="num" w:pos="1080"/>
        </w:tabs>
      </w:pPr>
    </w:lvl>
    <w:lvl w:ilvl="3">
      <w:start w:val="1"/>
      <w:numFmt w:val="bullet"/>
      <w:suff w:val="tab"/>
      <w:lvlText w:val=""/>
      <w:pPr>
        <w:ind w:left="1440" w:hanging="360"/>
        <w:tabs>
          <w:tab w:val="num" w:pos="1440"/>
        </w:tabs>
      </w:pPr>
    </w:lvl>
    <w:lvl w:ilvl="4">
      <w:start w:val="1"/>
      <w:numFmt w:val="bullet"/>
      <w:suff w:val="tab"/>
      <w:lvlText w:val=""/>
      <w:pPr>
        <w:ind w:left="1800" w:hanging="360"/>
        <w:tabs>
          <w:tab w:val="num" w:pos="1800"/>
        </w:tabs>
      </w:pPr>
    </w:lvl>
    <w:lvl w:ilvl="5">
      <w:start w:val="1"/>
      <w:numFmt w:val="bullet"/>
      <w:suff w:val="tab"/>
      <w:lvlText w:val=""/>
      <w:pPr>
        <w:ind w:left="2160" w:hanging="360"/>
        <w:tabs>
          <w:tab w:val="num" w:pos="2160"/>
        </w:tabs>
      </w:pPr>
    </w:lvl>
    <w:lvl w:ilvl="6">
      <w:start w:val="1"/>
      <w:numFmt w:val="bullet"/>
      <w:suff w:val="tab"/>
      <w:lvlText w:val=""/>
      <w:pPr>
        <w:ind w:left="2520" w:hanging="360"/>
        <w:tabs>
          <w:tab w:val="num" w:pos="2520"/>
        </w:tabs>
      </w:pPr>
    </w:lvl>
    <w:lvl w:ilvl="7">
      <w:start w:val="1"/>
      <w:numFmt w:val="bullet"/>
      <w:suff w:val="tab"/>
      <w:lvlText w:val=""/>
      <w:pPr>
        <w:ind w:left="2880" w:hanging="360"/>
        <w:tabs>
          <w:tab w:val="num" w:pos="2880"/>
        </w:tabs>
      </w:pPr>
    </w:lvl>
    <w:lvl w:ilvl="8">
      <w:start w:val="1"/>
      <w:numFmt w:val="bullet"/>
      <w:suff w:val="tab"/>
      <w:lvlText w:val=""/>
      <w:pPr>
        <w:ind w:left="3240" w:hanging="360"/>
        <w:tabs>
          <w:tab w:val="num" w:pos="3240"/>
        </w:tabs>
      </w:p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1080" w:hanging="360"/>
        <w:tabs>
          <w:tab w:val="num" w:pos="108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0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567" w:hanging="425"/>
        <w:tabs>
          <w:tab w:val="num" w:pos="567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0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cy-GB" w:eastAsia="cy-GB" w:bidi="cy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cy-GB" w:eastAsia="cy-GB" w:bidi="cy-GB"/>
    </w:rPr>
  </w:style>
  <w:style w:type="character" w:styleId="fieldlabel" w:customStyle="1">
    <w:name w:val="fieldlabel"/>
    <w:qFormat/>
    <w:rPr>
      <w:rtl w:val="off"/>
    </w:rPr>
  </w:style>
  <w:style w:type="paragraph" w:styleId="CommentText">
    <w:name w:val="annotation text"/>
    <w:basedOn w:val="Normal"/>
    <w:next w:val="CommentText"/>
    <w:qFormat/>
    <w:pPr>
      <w:spacing w:line="240" w:lineRule="auto"/>
    </w:pPr>
    <w:rPr>
      <w:sz w:val="20"/>
      <w:szCs w:val="20"/>
      <w:lang w:val="cy-GB" w:eastAsia="cy-GB" w:bidi="cy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cy-GB" w:eastAsia="cy-GB" w:bidi="cy-GB"/>
    </w:rPr>
  </w:style>
  <w:style w:type="character" w:styleId="Comment Text Char" w:customStyle="1">
    <w:name w:val="Comment Text Char"/>
    <w:qFormat/>
    <w:rPr>
      <w:sz w:val="20"/>
      <w:szCs w:val="20"/>
      <w:rtl w:val="off"/>
    </w:rPr>
  </w:style>
  <w:style w:type="character" w:styleId="Comment Subject Char" w:customStyle="1">
    <w:name w:val="Comment Subject Char"/>
    <w:basedOn w:val="Comment Text Char"/>
    <w:qFormat/>
    <w:rPr>
      <w:b/>
      <w:bCs/>
      <w:sz w:val="20"/>
      <w:szCs w:val="20"/>
    </w:rPr>
  </w:style>
  <w:style w:type="character" w:styleId="CommentReference">
    <w:name w:val="annotation reference"/>
    <w:qFormat/>
    <w:rPr>
      <w:sz w:val="16"/>
      <w:szCs w:val="16"/>
      <w:rtl w:val="off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image" Target="media/image0001.jpg"/>
	<Relationship Id="rId00006" Type="http://schemas.openxmlformats.org/officeDocument/2006/relationships/numbering" Target="numbering.xml"/>
	<Relationship Id="rId00007" Type="http://schemas.openxmlformats.org/officeDocument/2006/relationships/fontTable" Target="fontTable.xml"/>
	<Relationship Id="rId00008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dcterms:created xsi:type="dcterms:W3CDTF">2015-09-23T06:11:00Z</dcterms:created>
</cp:coreProperties>
</file>