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121212"/>
          <w:sz w:val="24"/>
          <w:szCs w:val="24"/>
          <w:shd w:val="clear" w:color="auto" w:fill="FFFFFF"/>
          <w:lang w:val="en-GB" w:eastAsia="en-GB" w:bidi="en-GB"/>
        </w:rPr>
      </w:pPr>
      <w:r>
        <w:rPr>
          <w:rStyle w:val="Strong"/>
          <w:rFonts w:ascii="Times New Roman" w:hAnsi="Times New Roman" w:eastAsia="Times New Roman" w:cs="Times New Roman"/>
          <w:color w:val="121212"/>
          <w:sz w:val="24"/>
          <w:szCs w:val="24"/>
          <w:shd w:val="clear" w:color="auto" w:fill="FFFFFF"/>
          <w:lang w:val="en-GB" w:eastAsia="en-GB" w:bidi="en-GB"/>
        </w:rPr>
        <w:t xml:space="preserve">MAIN FUNCTION</w:t>
      </w:r>
      <w:r>
        <w:rPr>
          <w:rFonts w:ascii="Times New Roman" w:hAnsi="Times New Roman" w:eastAsia="Times New Roman" w:cs="Times New Roman"/>
          <w:color w:val="121212"/>
          <w:sz w:val="24"/>
          <w:szCs w:val="24"/>
          <w:lang w:val="en-GB" w:eastAsia="en-GB" w:bidi="en-GB"/>
        </w:rPr>
        <w:br w:type="textWrapping"/>
      </w:r>
      <w:r>
        <w:rPr>
          <w:rFonts w:ascii="Times New Roman" w:hAnsi="Times New Roman" w:eastAsia="Times New Roman" w:cs="Times New Roman"/>
          <w:color w:val="121212"/>
          <w:sz w:val="24"/>
          <w:szCs w:val="24"/>
          <w:shd w:val="clear" w:color="auto" w:fill="FFFFFF"/>
          <w:lang w:val="en-GB" w:eastAsia="en-GB" w:bidi="en-GB"/>
        </w:rPr>
        <w:t xml:space="preserve">Undertake a full teaching load, including the development, delivery, assessment and evaluation of modules on the SPC, BTC, GDL and any successor courses.  The role may also include other activities undertaken by CPLS on professional development programmes for the profession, as well as the delivery of activities within the School of Law and Politics, such as clinical legal education and modules on other School programmes.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Teaching</w:t>
      </w:r>
      <w:r>
        <w:rPr>
          <w:rFonts w:ascii="Times New Roman" w:hAnsi="Times New Roman" w:eastAsia="Times New Roman" w:cs="Times New Roman"/>
          <w:sz w:val="24"/>
          <w:szCs w:val="24"/>
          <w:lang w:val="en-GB" w:eastAsia="en-GB" w:bidi="en-GB"/>
        </w:rPr>
        <w:t xml:space="preserv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Design and deliver teaching programmes and contribute to module development as part of a module team or as module leader.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Independently contribute to module and curriculum development and lead modules.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Inspire students, under the guidance of a mentor, and develop skills in assessment methods and in providing constructive feedback to students.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Supervise the work of students, including postgraduate master’s students.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Manage projects within own area of work and participate in the organisation of external activities such as student placements, competitions and extra-curricular activities, including marketing events.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Supply pastoral care by acting as a personal tutor and providing support and guidance to students, building and establishing trust. </w:t>
      </w: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Carry out work associated with examinations (setting and marking papers, providing constructive feedback to students), administration, and committee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Scholarship</w:t>
      </w:r>
      <w:r>
        <w:rPr>
          <w:rFonts w:ascii="Times New Roman" w:hAnsi="Times New Roman" w:eastAsia="Times New Roman" w:cs="Times New Roman"/>
          <w:sz w:val="24"/>
          <w:szCs w:val="24"/>
          <w:lang w:val="en-GB" w:eastAsia="en-GB" w:bidi="en-GB"/>
        </w:rPr>
        <w:t xml:space="preserv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Contribute to scholarship in the area of work and/or the Scholarship of learning and teaching by participating in conferences, seminars and other academic and professional fora to disseminate the results of individual scholarship.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Engage in scholarly activity through journal articles and/or outputs which advance knowledge within the area of work.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Contribute to scholarship through interdisciplinary work with individuals and teams both within, and outside the wider university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Other</w:t>
      </w:r>
      <w:r>
        <w:rPr>
          <w:rFonts w:ascii="Times New Roman" w:hAnsi="Times New Roman" w:eastAsia="Times New Roman" w:cs="Times New Roman"/>
          <w:sz w:val="24"/>
          <w:szCs w:val="24"/>
          <w:lang w:val="en-GB" w:eastAsia="en-GB" w:bidi="en-GB"/>
        </w:rPr>
        <w:t xml:space="preserv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Engage effectively with industrial, commercial and public sector organisations, professional institutions and other academic institutions., regionally and nationally, to raise awareness of the School’s profile, to cultivate strategically valuable alliances, and to pursue opportunities for collaboration across a range of activities. These activities are expected to contribute to the School and enhance its regional and national profile.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Participate in School administration and activities to promote the School and its work to the wider University and the outside world, e.g. open days, organisation of public lectures and other events; contribution to public consultations; policy advice etc.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To undertake personal and professional development that is appropriate to the role of Lecturer and will enhance performance in that role.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To comply with and ensure compliance with legal and regulatory requirements in respect of equality and diversity, data protection, copyright and licensing, security, financial and other University policies, procedures and codes as appropriate. </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To take reasonable care for your own health and safety and that of other persons who may be affected by your acts or omissions at work in accordance with the Health and Safety at Work Act 1974, EU directives and the University’s Health and Environment policies and procedures and to cooperate with the University on any legal duties placed on it as the employer. </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Any other duties not included above, but consistent with the role. </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360"/>
        <w:rPr>
          <w:rFonts w:ascii="Times New Roman" w:hAnsi="Times New Roman" w:eastAsia="Times New Roman" w:cs="Times New Roman"/>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b/>
          <w:bCs/>
          <w:color w:val="333333"/>
          <w:shd w:val="clear" w:color="auto" w:fill="FFFFFF"/>
          <w:lang w:val="en-GB" w:eastAsia="en-GB" w:bidi="en-GB"/>
        </w:rPr>
        <w:t xml:space="preserve">IMPORTANT NOTE TO CANDIDATES: </w:t>
      </w:r>
      <w:r>
        <w:rPr>
          <w:rStyle w:val="eop"/>
          <w:color w:val="333333"/>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333333"/>
          <w:lang w:val="en-GB" w:eastAsia="en-GB" w:bidi="en-GB"/>
        </w:rPr>
      </w:pPr>
      <w:r>
        <w:rPr>
          <w:rStyle w:val="normaltextrun"/>
          <w:color w:val="333333"/>
          <w:shd w:val="clear" w:color="auto" w:fill="FFFFFF"/>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You must provide a supporting statement that outlines how you meet the criteria below. We recommend formatting this by using each criteria as a sub-heading and providing your relevant experience/evidence below each sub-heading. It is crucial that you save your supporting statement with the vacancy number (eg. 1234BR) in the filename as failure to do so may result in it being omitted from your application.</w:t>
      </w:r>
      <w:r>
        <w:rPr>
          <w:rStyle w:val="eop"/>
          <w:color w:val="333333"/>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color w:val="333333"/>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u w:val="single"/>
          <w:lang w:val="en-GB" w:eastAsia="en-GB" w:bidi="en-GB"/>
        </w:rPr>
        <w:t xml:space="preserve">Essential Criteria</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Times New Roman" w:hAnsi="Times New Roman" w:eastAsia="Times New Roman" w:cs="Times New Roman"/>
          <w:b/>
          <w:bCs/>
          <w:sz w:val="24"/>
          <w:szCs w:val="24"/>
          <w:lang w:val="en-GB" w:eastAsia="en-GB" w:bidi="en-GB"/>
        </w:rPr>
      </w:pPr>
      <w:r>
        <w:rPr>
          <w:rFonts w:ascii="Times New Roman" w:hAnsi="Times New Roman" w:eastAsia="Times New Roman" w:cs="Times New Roman"/>
          <w:b/>
          <w:bCs/>
          <w:sz w:val="24"/>
          <w:szCs w:val="24"/>
          <w:lang w:val="en-GB" w:eastAsia="en-GB" w:bidi="en-GB"/>
        </w:rPr>
        <w:t xml:space="preserve">Qualifications and Education</w:t>
      </w:r>
    </w:p>
    <w:p>
      <w:pPr>
        <w:pStyle w:val="ListParagraph"/>
        <w:numPr>
          <w:ilvl w:val="0"/>
          <w:numId w:val="3"/>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4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Qualified as a barrister, solicitor or legal executive in England and Wales.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Knowledge, Skills and Experience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2.       The ability to design, deliver and continuously develop modules across the School’s teaching programmes, including the vocational law modules appropriate to the SPC, BTC, GDL or any successor course.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3.       The ability to design, deliver and continuously develop legal skills modules including appropriate assessment criteria</w:t>
      </w:r>
      <w:r>
        <w:rPr>
          <w:rFonts w:ascii="Times New Roman" w:hAnsi="Times New Roman" w:eastAsia="Times New Roman" w:cs="Times New Roman"/>
          <w:color w:val="FF0000"/>
          <w:lang w:val="en-GB" w:eastAsia="en-GB" w:bidi="en-GB"/>
        </w:rPr>
        <w:t xml:space="preserve"> </w:t>
      </w:r>
      <w:r>
        <w:rPr>
          <w:rFonts w:ascii="Times New Roman" w:hAnsi="Times New Roman" w:eastAsia="Times New Roman" w:cs="Times New Roman"/>
          <w:lang w:val="en-GB" w:eastAsia="en-GB" w:bidi="en-GB"/>
        </w:rPr>
        <w:t xml:space="preserve">across the School’s teaching programmes, particularly the vocational law modules appropriate to the SPC, BTC, GDL or any successor course.</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4.       Demonstrate legal practice experience, specialist knowledge, and currency of knowledge and experience within subject area.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Pastoral, Communication and Team Working</w:t>
      </w:r>
      <w:r>
        <w:rPr>
          <w:rFonts w:ascii="Times New Roman" w:hAnsi="Times New Roman" w:eastAsia="Times New Roman" w:cs="Times New Roman"/>
          <w:lang w:val="en-GB" w:eastAsia="en-GB" w:bidi="en-GB"/>
        </w:rPr>
        <w:t xml:space="preserve">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5.       Excellent communication skills (both written and oral) and the ability to present complex ideas clearly and confidently to others using a range of media.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6.      The ability to provide appropriate pastoral support to students, appreciate the needs of individual students and their circumstances and to act as a personal tutor.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7.      The ability to act as a module leader, to co-ordinate with others and to be part of a number of teams to ensure student needs and expectations are met.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Other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8.     The ability to undertake academically related administration.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b/>
          <w:bCs/>
          <w:lang w:val="en-GB" w:eastAsia="en-GB" w:bidi="en-GB"/>
        </w:rPr>
      </w:pPr>
      <w:r>
        <w:rPr>
          <w:rFonts w:ascii="Times New Roman" w:hAnsi="Times New Roman" w:eastAsia="Times New Roman" w:cs="Times New Roman"/>
          <w:lang w:val="en-GB" w:eastAsia="en-GB" w:bidi="en-GB"/>
        </w:rPr>
        <w:t xml:space="preserve">9.     Proven ability to innovate and work without close supervision.</w:t>
      </w:r>
      <w:r>
        <w:rPr>
          <w:rFonts w:ascii="Times New Roman" w:hAnsi="Times New Roman" w:eastAsia="Times New Roman" w:cs="Times New Roman"/>
          <w:b/>
          <w:bCs/>
          <w:lang w:val="en-GB" w:eastAsia="en-GB" w:bidi="en-GB"/>
        </w:rPr>
        <w:t xml:space="preserve">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40" w:lineRule="auto"/>
        <w:ind w:left="567" w:hanging="567"/>
        <w:rPr>
          <w:rFonts w:ascii="Times New Roman" w:hAnsi="Times New Roman" w:eastAsia="Times New Roman" w:cs="Times New Roman"/>
          <w:b/>
          <w:bCs/>
          <w:lang w:val="en-GB" w:eastAsia="en-GB" w:bidi="en-GB"/>
        </w:rPr>
      </w:pPr>
      <w:r>
        <w:rPr>
          <w:rFonts w:ascii="Times New Roman" w:hAnsi="Times New Roman" w:eastAsia="Times New Roman" w:cs="Times New Roman"/>
          <w:b/>
          <w:bCs/>
          <w:u w:val="single"/>
          <w:lang w:val="en-GB" w:eastAsia="en-GB" w:bidi="en-GB"/>
        </w:rPr>
        <w:t xml:space="preserve">Desirable Criteria</w:t>
      </w:r>
      <w:r>
        <w:rPr>
          <w:rFonts w:ascii="Times New Roman" w:hAnsi="Times New Roman" w:eastAsia="Times New Roman" w:cs="Times New Roman"/>
          <w:b/>
          <w:bCs/>
          <w:lang w:val="en-GB" w:eastAsia="en-GB" w:bidi="en-GB"/>
        </w:rPr>
        <w:t xml:space="preserve"> </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       Postgraduate Certificate in University Teaching and Learning or equivalent qualification or teaching experience. </w:t>
      </w:r>
    </w:p>
    <w:p>
      <w:pPr>
        <w:pStyle w:val="ListParagraph"/>
        <w:numPr>
          <w:ilvl w:val="0"/>
          <w:numId w:val="3"/>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participate in and develop both internal and external networks and utilise them to enhance the teaching and research activities of the School, including evidence of collaboration with practice/industry. </w:t>
      </w:r>
    </w:p>
    <w:p>
      <w:pPr>
        <w:pStyle w:val="ListParagraph"/>
        <w:numPr>
          <w:ilvl w:val="0"/>
          <w:numId w:val="3"/>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Ability to communicate and teach through the medium of Welsh.</w:t>
      </w:r>
    </w:p>
    <w:p>
      <w:pPr>
        <w:pStyle w:val="ListParagraph"/>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567" w:hanging="567"/>
        <w:rPr>
          <w:rFonts w:ascii="Times New Roman" w:hAnsi="Times New Roman" w:eastAsia="Times New Roman" w:cs="Times New Roman"/>
          <w:lang w:val="en-GB" w:eastAsia="en-GB" w:bidi="en-GB"/>
        </w:rPr>
      </w:pPr>
      <w:r>
        <w:rPr>
          <w:rFonts w:ascii="Times New Roman" w:hAnsi="Times New Roman" w:eastAsia="Times New Roman" w:cs="Times New Roman"/>
          <w:color w:val="121212"/>
          <w:shd w:val="clear" w:color="auto" w:fill="FFFFFF"/>
          <w:lang w:val="en-GB" w:eastAsia="en-GB" w:bidi="en-GB"/>
        </w:rPr>
        <w:t xml:space="preserve">The ability to teach one or more of the following modules: Business Law and Practice, Property Practice, Civil and Criminal Litigation.</w:t>
      </w:r>
      <w:r>
        <w:rPr>
          <w:rFonts w:ascii="Times New Roman" w:hAnsi="Times New Roman" w:eastAsia="Times New Roman" w:cs="Times New Roman"/>
          <w:color w:val="121212"/>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eastAsia="Times New Roman" w:cs="Times New Roman"/>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121212"/>
          <w:sz w:val="24"/>
          <w:szCs w:val="24"/>
          <w:shd w:val="clear" w:color="auto" w:fill="FFFFFF"/>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121212"/>
          <w:sz w:val="24"/>
          <w:szCs w:val="24"/>
          <w:shd w:val="clear" w:color="auto" w:fill="FFFFFF"/>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Times New Roman" w:hAnsi="Times New Roman" w:eastAsia="Times New Roman" w:cs="Times New Roman"/>
          <w:color w:val="121212"/>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121212"/>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567"/>
        <w:tabs>
          <w:tab w:val="num" w:pos="56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decimal"/>
      <w:suff w:val="tab"/>
      <w:lvlText w:val="%1."/>
      <w:pPr>
        <w:ind w:left="567" w:hanging="567"/>
        <w:tabs>
          <w:tab w:val="num" w:pos="567"/>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4"/>
      <w:numFmt w:val="decimal"/>
      <w:suff w:val="tab"/>
      <w:lvlText w:val="%1."/>
      <w:pPr>
        <w:ind w:left="567" w:hanging="567"/>
        <w:tabs>
          <w:tab w:val="num" w:pos="567"/>
        </w:tabs>
      </w:pPr>
      <w:rPr>
        <w:rFonts w:hint="default" w:ascii="Times New Roman" w:hAnsi="Times New Roman" w:eastAsia="Times New Roman" w:cs="Times New Roman"/>
        <w:b w:val="off"/>
        <w:i w:val="off"/>
        <w:strike w:val="off"/>
        <w:color w:val="121212"/>
        <w:position w:val="0"/>
        <w:sz w:val="24"/>
        <w:u w:val="none"/>
        <w:shd w:val="clear" w:color="auto" w:fill="FFFFFF"/>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character" w:styleId="Strong">
    <w:name w:val="Strong"/>
    <w:qFormat/>
    <w:rPr>
      <w:b/>
      <w:bCs/>
      <w:rtl w:val="off"/>
    </w:rPr>
  </w:style>
  <w:style w:type="paragraph" w:styleId="ListParagraph">
    <w:name w:val="List Paragraph"/>
    <w:basedOn w:val="Normal"/>
    <w:next w:val="ListParagraph"/>
    <w:qFormat/>
    <w:pPr>
      <w:spacing w:line="278" w:lineRule="auto"/>
      <w:ind w:left="720"/>
    </w:pPr>
    <w:rPr>
      <w:sz w:val="24"/>
      <w:szCs w:val="24"/>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character" w:styleId="Hyperlink">
    <w:name w:val="Hyperlink"/>
    <w:qFormat/>
    <w:rPr>
      <w:color w:val="0563C1"/>
      <w:u w:val="single"/>
      <w:rtl w:val="off"/>
    </w:rPr>
  </w:style>
  <w:style w:type="character" w:styleId="UnresolvedMention">
    <w:name w:val="Unresolved Mention"/>
    <w:qFormat/>
    <w:rPr>
      <w:color w:val="605E5C"/>
      <w:shd w:val="clear" w:color="auto" w:fill="E1DFDD"/>
      <w:rtl w:val="off"/>
    </w:rPr>
  </w:style>
  <w:style w:type="character" w:styleId="questioninput" w:customStyle="1">
    <w:name w:val="questioninput"/>
    <w:qFormat/>
    <w:rPr>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Pike</dc:creator>
  <dcterms:created xsi:type="dcterms:W3CDTF">2026-05-15T08:56:00Z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145d26a4-a474-40dc-802c-b19b261c9807</vt:lpwstr>
  </property>
</Properties>
</file>