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96"/>
      </w:tblGrid>
      <w:tr>
        <w:tc>
          <w:tcPr>
            <w:tcW w:w="9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4275"/>
      </w:tblGrid>
      <w:tr>
        <w:tc>
          <w:tcPr>
            <w:tcW w:w="42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c>
      </w:tr>
      <w:tr>
        <w:tc>
          <w:tcPr>
            <w:tcW w:w="427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b/>
                <w:bCs/>
                <w:sz w:val="24"/>
                <w:szCs w:val="24"/>
                <w:lang w:val="en-GB" w:eastAsia="en-GB" w:bidi="en-GB"/>
              </w:rPr>
              <w:t xml:space="preserve">Main Duties and Responsibilities:   </w:t>
            </w:r>
            <w:r>
              <w:rPr>
                <w:rFonts w:ascii="Times New Roman" w:hAnsi="Times New Roman" w:eastAsia="Times New Roman" w:cs="Times New Roman"/>
                <w:sz w:val="24"/>
                <w:szCs w:val="24"/>
                <w:lang w:val="en-GB" w:eastAsia="en-GB" w:bidi="en-GB"/>
              </w:rPr>
              <w:br w:type="textWrapping"/>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9026"/>
      </w:tblGrid>
      <w:tr>
        <w:tc>
          <w:tcPr>
            <w:tcW w:w="9026" w:type="dxa"/>
            <w:shd w:val="clear" w:color="auto" w:fill="auto"/>
            <w:vAlign w:val="center"/>
          </w:tcPr>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936"/>
            </w:tblGrid>
            <w:tr>
              <w:tc>
                <w:tcPr>
                  <w:tcW w:w="893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As a Lecturer at Cardiff Law School the successful applicant will be required to deliver high-quality teaching at both undergraduate and postgraduate level.  The successful applicant should be an active and collegiate member of the school community and contribute to every aspect of school life.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u w:val="single"/>
                      <w:lang w:val="en-GB" w:eastAsia="en-GB" w:bidi="en-GB"/>
                    </w:rPr>
                    <w:t xml:space="preserve">Scholarship  </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    Engage in scholarly activity with the potential to publish journal articles and/or outputs which advance knowledge within the area of law, legal education or the Scholarship of Learning and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Actively participate in School scholarship activities and contribute to scholarship through interdisciplinary working with individuals and teams within, and external to, the wider university community. </w:t>
                    <w:br w:type="textWrapping"/>
                  </w:r>
                  <w:r>
                    <w:rPr>
                      <w:rFonts w:ascii="Times New Roman" w:hAnsi="Times New Roman" w:eastAsia="Times New Roman" w:cs="Times New Roman"/>
                      <w:sz w:val="24"/>
                      <w:szCs w:val="24"/>
                      <w:lang w:val="en-GB" w:eastAsia="en-GB" w:bidi="en-GB"/>
                    </w:rPr>
                    <w:t xml:space="preserve">•    Contribute to scholarship within the area of law, legal education or the Scholarship of Learning and Teaching through participation in conferences, seminars and other academic and professional forums (at local and national level) to disseminate the results of individual scholarship. </w:t>
                    <w:br w:type="textWrapping"/>
                  </w:r>
                  <w:r>
                    <w:rPr>
                      <w:rFonts w:ascii="Times New Roman" w:hAnsi="Times New Roman" w:eastAsia="Times New Roman" w:cs="Times New Roman"/>
                      <w:sz w:val="24"/>
                      <w:szCs w:val="24"/>
                      <w:lang w:val="en-GB" w:eastAsia="en-GB" w:bidi="en-GB"/>
                    </w:rPr>
                    <w:t xml:space="preserve">•    Develop scholarship projects which have potential to receive internal or external funding.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u w:val="single"/>
                      <w:lang w:val="en-GB" w:eastAsia="en-GB" w:bidi="en-GB"/>
                    </w:rPr>
                    <w:t xml:space="preserve">Teaching  </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    Contribute to the design and delivery of modules as part of a module team</w:t>
                    <w:br w:type="textWrapping"/>
                  </w:r>
                  <w:r>
                    <w:rPr>
                      <w:rFonts w:ascii="Times New Roman" w:hAnsi="Times New Roman" w:eastAsia="Times New Roman" w:cs="Times New Roman"/>
                      <w:sz w:val="24"/>
                      <w:szCs w:val="24"/>
                      <w:lang w:val="en-GB" w:eastAsia="en-GB" w:bidi="en-GB"/>
                    </w:rPr>
                    <w:t xml:space="preserve">•    Inspire undergraduate and postgraduate students and deliver effective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Engage in work associated with examinations, including setting and marking papers and providing constructive feedback to students</w:t>
                    <w:br w:type="textWrapping"/>
                  </w:r>
                  <w:r>
                    <w:rPr>
                      <w:rFonts w:ascii="Times New Roman" w:hAnsi="Times New Roman" w:eastAsia="Times New Roman" w:cs="Times New Roman"/>
                      <w:sz w:val="24"/>
                      <w:szCs w:val="24"/>
                      <w:lang w:val="en-GB" w:eastAsia="en-GB" w:bidi="en-GB"/>
                    </w:rPr>
                    <w:t xml:space="preserve">•     Deliver pastoral care both through acting as a Personal Tutor and through the wider provision of support and guidance to students, building and establishing trust. </w:t>
                    <w:br w:type="textWrapping"/>
                  </w:r>
                  <w:r>
                    <w:rPr>
                      <w:rFonts w:ascii="Times New Roman" w:hAnsi="Times New Roman" w:eastAsia="Times New Roman" w:cs="Times New Roman"/>
                      <w:sz w:val="24"/>
                      <w:szCs w:val="24"/>
                      <w:lang w:val="en-GB" w:eastAsia="en-GB" w:bidi="en-GB"/>
                    </w:rPr>
                    <w:t xml:space="preserve">•     Supervise the work of students including the supervision of Undergraduate and Master’s students, where required.  </w:t>
                    <w:br w:type="textWrapping"/>
                  </w:r>
                  <w:r>
                    <w:rPr>
                      <w:rFonts w:ascii="Times New Roman" w:hAnsi="Times New Roman" w:eastAsia="Times New Roman" w:cs="Times New Roman"/>
                      <w:sz w:val="24"/>
                      <w:szCs w:val="24"/>
                      <w:lang w:val="en-GB" w:eastAsia="en-GB" w:bidi="en-GB"/>
                    </w:rPr>
                    <w:t xml:space="preserve">•    Participate in the teaching community including committee membership and student engagement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u w:val="single"/>
                      <w:lang w:val="en-GB" w:eastAsia="en-GB" w:bidi="en-GB"/>
                    </w:rPr>
                    <w:t xml:space="preserve">Collegiality and Community </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    Be a collaborative, collegiate colleague with a commitment to engage in the life of the School and contribute fully to the community, including teaching, scholarship and administrative activities.   </w:t>
                    <w:br w:type="textWrapping"/>
                  </w:r>
                  <w:r>
                    <w:rPr>
                      <w:rFonts w:ascii="Times New Roman" w:hAnsi="Times New Roman" w:eastAsia="Times New Roman" w:cs="Times New Roman"/>
                      <w:sz w:val="24"/>
                      <w:szCs w:val="24"/>
                      <w:lang w:val="en-GB" w:eastAsia="en-GB" w:bidi="en-GB"/>
                    </w:rPr>
                    <w:t xml:space="preserve">•    Engage effectively with industrial, commercial/public sector organisations, professional institutions, other academic institutions etc., regionally and nationally to raise awareness of the School’s profile, to cultivate strategically valuable alliances, and to pursue opportunities for collaboration across a range of activities.  These activities are expected to contribute to the School and the enhancement of its regional and national profile. </w:t>
                    <w:br w:type="textWrapping"/>
                  </w:r>
                  <w:r>
                    <w:rPr>
                      <w:rFonts w:ascii="Times New Roman" w:hAnsi="Times New Roman" w:eastAsia="Times New Roman" w:cs="Times New Roman"/>
                      <w:sz w:val="24"/>
                      <w:szCs w:val="24"/>
                      <w:lang w:val="en-GB" w:eastAsia="en-GB" w:bidi="en-GB"/>
                    </w:rPr>
                    <w:t xml:space="preserve">•    Undergo personal and professional development that is appropriate to and which will enhance performance in the role of Lecturer. </w:t>
                    <w:br w:type="textWrapping"/>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936"/>
            </w:tblGrid>
            <w:tr>
              <w:tc>
                <w:tcPr>
                  <w:tcW w:w="8936" w:type="dxa"/>
                  <w:shd w:val="clear" w:color="auto" w:fill="auto"/>
                  <w:vAlign w:val="center"/>
                </w:tcPr>
                <w:p>
                  <w:pPr>
                    <w:pStyle w:val="ListParagraph"/>
                    <w:numPr>
                      <w:ilvl w:val="0"/>
                      <w:numId w:val="1"/>
                    </w:numPr>
                    <w:tabs>
                      <w:tab w:val="left" w:pos="3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Participate in School administration and activities to promote the School and its work to the wider University and the outside world.</w:t>
                    <w:br w:type="textWrapping"/>
                  </w:r>
                  <w:r>
                    <w:rPr>
                      <w:rFonts w:ascii="Times New Roman" w:hAnsi="Times New Roman" w:eastAsia="Times New Roman" w:cs="Times New Roman"/>
                      <w:sz w:val="24"/>
                      <w:szCs w:val="24"/>
                      <w:lang w:val="en-GB" w:eastAsia="en-GB" w:bidi="en-GB"/>
                    </w:rPr>
                    <w:t xml:space="preserve">•    Any other duties appropriate to support the development ambitions of the role not included above, but consistent with the role. </w:t>
                  </w:r>
                </w:p>
              </w:tc>
            </w:tr>
          </w:tbl>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9026"/>
      </w:tblGrid>
      <w:tr>
        <w:tc>
          <w:tcPr>
            <w:tcW w:w="90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c>
      </w:tr>
      <w:tr>
        <w:tc>
          <w:tcPr>
            <w:tcW w:w="9026" w:type="dxa"/>
            <w:shd w:val="clear" w:color="auto" w:fill="auto"/>
            <w:vAlign w:val="center"/>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b/>
                <w:bCs/>
                <w:color w:val="333333"/>
                <w:shd w:val="clear" w:color="auto" w:fill="FFFFFF"/>
                <w:lang w:val="en-GB" w:eastAsia="en-GB" w:bidi="en-GB"/>
              </w:rPr>
            </w:pPr>
            <w:r>
              <w:rPr>
                <w:rStyle w:val="normaltextrun"/>
                <w:b/>
                <w:bCs/>
                <w:color w:val="333333"/>
                <w:shd w:val="clear" w:color="auto" w:fill="FFFFFF"/>
                <w:lang w:val="en-GB" w:eastAsia="en-GB" w:bidi="en-GB"/>
              </w:rPr>
              <w:t xml:space="preserve">Person Specification</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b/>
                <w:bCs/>
                <w:color w:val="333333"/>
                <w:shd w:val="clear" w:color="auto" w:fill="FFFFFF"/>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Style w:val="normaltextrun"/>
                <w:b/>
                <w:bCs/>
                <w:color w:val="333333"/>
                <w:shd w:val="clear" w:color="auto" w:fill="FFFFFF"/>
                <w:lang w:val="en-GB" w:eastAsia="en-GB" w:bidi="en-GB"/>
              </w:rPr>
              <w:t xml:space="preserve">IMPORTANT NOTE TO CANDIDATES: </w:t>
            </w:r>
            <w:r>
              <w:rPr>
                <w:rStyle w:val="eop"/>
                <w:color w:val="333333"/>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3333"/>
                <w:lang w:val="en-GB" w:eastAsia="en-GB" w:bidi="en-GB"/>
              </w:rPr>
            </w:pPr>
            <w:r>
              <w:rPr>
                <w:rStyle w:val="normaltextrun"/>
                <w:color w:val="333333"/>
                <w:shd w:val="clear" w:color="auto" w:fill="FFFFFF"/>
                <w:lang w:val="en-GB" w:eastAsia="en-GB" w:bidi="en-GB"/>
              </w:rPr>
              <w:t xml:space="preserve">It is the University’s policy to use the person specification as a key tool for short-listing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 formatting this by using each criteria as a sub-heading and providing your relevant experience/evidence below each sub-heading. It is crucial that you save your supporting statement with the vacancy number (eg. 1234BR) in the filename as failure to do so may result in it being omitted from your application.</w:t>
            </w:r>
            <w:r>
              <w:rPr>
                <w:rStyle w:val="eop"/>
                <w:color w:val="333333"/>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tbl>
      <w:tblPr>
        <w:tblW w:w="0" w:type="auto"/>
        <w:jc w:val="left"/>
        <w:tblInd w:w="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9026"/>
      </w:tblGrid>
      <w:tr>
        <w:tc>
          <w:tcPr>
            <w:tcW w:w="90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b/>
                <w:bCs/>
                <w:sz w:val="24"/>
                <w:szCs w:val="24"/>
                <w:lang w:val="en-GB" w:eastAsia="en-GB" w:bidi="en-GB"/>
              </w:rPr>
              <w:t xml:space="preserve">ESSENTIAL CRITERIA  </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u w:val="single"/>
                <w:lang w:val="en-GB" w:eastAsia="en-GB" w:bidi="en-GB"/>
              </w:rPr>
              <w:t xml:space="preserve">Qualifications and Education </w:t>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t xml:space="preserve">1.    Possession of a postgraduate degree at PhD level in a related subject area by the time the appointment begins (or being close to completion) or equivalent professional expertise in Law or a cognate field.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u w:val="single"/>
                <w:lang w:val="en-GB" w:eastAsia="en-GB" w:bidi="en-GB"/>
              </w:rPr>
              <w:t xml:space="preserve">Knowledge, Skills and Experience </w:t>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t xml:space="preserve">2.    Specialist knowledge and knowledge of current developments within the academic subject area.   </w:t>
              <w:br w:type="textWrapping"/>
            </w:r>
            <w:r>
              <w:rPr>
                <w:rFonts w:ascii="Times New Roman" w:hAnsi="Times New Roman" w:eastAsia="Times New Roman" w:cs="Times New Roman"/>
                <w:sz w:val="24"/>
                <w:szCs w:val="24"/>
                <w:lang w:val="en-GB" w:eastAsia="en-GB" w:bidi="en-GB"/>
              </w:rPr>
              <w:t xml:space="preserve">3.    Ability to design, deliver and continuously develop modules across the School’s teaching programmes. </w:t>
              <w:br w:type="textWrapping"/>
            </w:r>
            <w:r>
              <w:rPr>
                <w:rFonts w:ascii="Times New Roman" w:hAnsi="Times New Roman" w:eastAsia="Times New Roman" w:cs="Times New Roman"/>
                <w:sz w:val="24"/>
                <w:szCs w:val="24"/>
                <w:lang w:val="en-GB" w:eastAsia="en-GB" w:bidi="en-GB"/>
              </w:rPr>
              <w:t xml:space="preserve">4.    Teaching experience at undergraduate/postgraduate level, including teaching experience or the willingness to teach</w:t>
            </w:r>
            <w:r>
              <w:rPr>
                <w:rFonts w:ascii="Times New Roman" w:hAnsi="Times New Roman" w:eastAsia="Times New Roman" w:cs="Times New Roman"/>
                <w:sz w:val="24"/>
                <w:szCs w:val="24"/>
                <w:u w:val="single"/>
                <w:lang w:val="en-GB" w:eastAsia="en-GB" w:bidi="en-GB"/>
              </w:rPr>
              <w:t xml:space="preserve"> Tort Law and Medical Law</w:t>
            </w:r>
            <w:r>
              <w:rPr>
                <w:rFonts w:ascii="Times New Roman" w:hAnsi="Times New Roman" w:eastAsia="Times New Roman" w:cs="Times New Roman"/>
                <w:sz w:val="24"/>
                <w:szCs w:val="24"/>
                <w:lang w:val="en-GB" w:eastAsia="en-GB" w:bidi="en-GB"/>
              </w:rPr>
              <w:t xml:space="preserve">, </w:t>
            </w:r>
            <w:r>
              <w:rPr>
                <w:rFonts w:ascii="Times New Roman" w:hAnsi="Times New Roman" w:eastAsia="Times New Roman" w:cs="Times New Roman"/>
                <w:sz w:val="24"/>
                <w:szCs w:val="24"/>
                <w:u w:val="single"/>
                <w:lang w:val="en-GB" w:eastAsia="en-GB" w:bidi="en-GB"/>
              </w:rPr>
              <w:t xml:space="preserve">including modules on the Legal Aspects of Medical Practice Master’s (on Ethics and/or Legal and Professional Regulations of Medical Practice)</w:t>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u w:val="single"/>
                <w:lang w:val="en-GB" w:eastAsia="en-GB" w:bidi="en-GB"/>
              </w:rPr>
              <w:t xml:space="preserve">Pastoral, Communication and Team Working  </w:t>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5.    Excellent communication skills with the ability to present complex ideas clearly and confidently to others using high level skills and a range of pedagogic methods.  </w:t>
              <w:br w:type="textWrapping"/>
            </w:r>
            <w:r>
              <w:rPr>
                <w:rFonts w:ascii="Times New Roman" w:hAnsi="Times New Roman" w:eastAsia="Times New Roman" w:cs="Times New Roman"/>
                <w:sz w:val="24"/>
                <w:szCs w:val="24"/>
                <w:lang w:val="en-GB" w:eastAsia="en-GB" w:bidi="en-GB"/>
              </w:rPr>
              <w:t xml:space="preserve">6.    Evidence of a flexible and co-operative attitude towards colleagues, with a willingness to engage in the life of the School and contribute fully to the community, including teaching, scholarship and administrative activities.  </w:t>
              <w:br w:type="textWrapping"/>
            </w:r>
            <w:r>
              <w:rPr>
                <w:rFonts w:ascii="Times New Roman" w:hAnsi="Times New Roman" w:eastAsia="Times New Roman" w:cs="Times New Roman"/>
                <w:sz w:val="24"/>
                <w:szCs w:val="24"/>
                <w:lang w:val="en-GB" w:eastAsia="en-GB" w:bidi="en-GB"/>
              </w:rPr>
              <w:t xml:space="preserve">7.   Ability to provide appropriate pastoral support to students, appreciate the needs of individual students and their circumstances and to act as a personal tutor.   </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u w:val="single"/>
                <w:lang w:val="en-GB" w:eastAsia="en-GB" w:bidi="en-GB"/>
              </w:rPr>
              <w:t xml:space="preserve">Other </w:t>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t xml:space="preserve">8.  Proven ability to demonstrate creativity, innovation and teamworking within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r>
              <w:rPr>
                <w:rFonts w:ascii="Times New Roman" w:hAnsi="Times New Roman" w:eastAsia="Times New Roman" w:cs="Times New Roman"/>
                <w:sz w:val="24"/>
                <w:szCs w:val="24"/>
                <w:lang w:val="en-GB" w:eastAsia="en-GB" w:bidi="en-GB"/>
              </w:rPr>
              <w:t xml:space="preserve">9.  Willingness to work on weekends, where necessary in the delivery of the Legal Aspects of Medical Practice Master’s.</w:t>
              <w:br w:type="textWrapping"/>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b/>
                <w:bCs/>
                <w:sz w:val="24"/>
                <w:szCs w:val="24"/>
                <w:lang w:val="en-GB" w:eastAsia="en-GB" w:bidi="en-GB"/>
              </w:rPr>
              <w:t xml:space="preserve">DESIRABLE CRITERIA</w:t>
            </w:r>
            <w:r>
              <w:rPr>
                <w:rFonts w:ascii="Times New Roman" w:hAnsi="Times New Roman" w:eastAsia="Times New Roman" w:cs="Times New Roman"/>
                <w:sz w:val="24"/>
                <w:szCs w:val="24"/>
                <w:lang w:val="en-GB" w:eastAsia="en-GB" w:bidi="en-GB"/>
              </w:rPr>
              <w:t xml:space="preserve">   </w:t>
              <w:br w:type="textWrapping"/>
            </w:r>
            <w:r>
              <w:rPr>
                <w:rFonts w:ascii="Times New Roman" w:hAnsi="Times New Roman" w:eastAsia="Times New Roman" w:cs="Times New Roman"/>
                <w:sz w:val="24"/>
                <w:szCs w:val="24"/>
                <w:lang w:val="en-GB" w:eastAsia="en-GB" w:bidi="en-GB"/>
              </w:rPr>
              <w:br w:type="textWrapping"/>
            </w:r>
            <w:r>
              <w:rPr>
                <w:rFonts w:ascii="Times New Roman" w:hAnsi="Times New Roman" w:eastAsia="Times New Roman" w:cs="Times New Roman"/>
                <w:sz w:val="24"/>
                <w:szCs w:val="24"/>
                <w:lang w:val="en-GB" w:eastAsia="en-GB" w:bidi="en-GB"/>
              </w:rPr>
              <w:t xml:space="preserve">1.    Ability to teach in the medium of Welsh.   </w:t>
              <w:br w:type="textWrapping"/>
            </w:r>
            <w:r>
              <w:rPr>
                <w:rFonts w:ascii="Times New Roman" w:hAnsi="Times New Roman" w:eastAsia="Times New Roman" w:cs="Times New Roman"/>
                <w:sz w:val="24"/>
                <w:szCs w:val="24"/>
                <w:lang w:val="en-GB" w:eastAsia="en-GB" w:bidi="en-GB"/>
              </w:rPr>
              <w:t xml:space="preserve">2.    Ability to support or deliver pro-bono teaching.  </w:t>
              <w:br w:type="textWrapping"/>
            </w:r>
            <w:r>
              <w:rPr>
                <w:rFonts w:ascii="Times New Roman" w:hAnsi="Times New Roman" w:eastAsia="Times New Roman" w:cs="Times New Roman"/>
                <w:sz w:val="24"/>
                <w:szCs w:val="24"/>
                <w:lang w:val="en-GB" w:eastAsia="en-GB" w:bidi="en-GB"/>
              </w:rPr>
              <w:t xml:space="preserve">3.     Proven ability to work without close supervision and to adapt to the changing requirements of the Higher Education community.  </w:t>
              <w:br w:type="textWrapping"/>
            </w:r>
            <w:r>
              <w:rPr>
                <w:rFonts w:ascii="Times New Roman" w:hAnsi="Times New Roman" w:eastAsia="Times New Roman" w:cs="Times New Roman"/>
                <w:sz w:val="24"/>
                <w:szCs w:val="24"/>
                <w:lang w:val="en-GB" w:eastAsia="en-GB" w:bidi="en-GB"/>
              </w:rPr>
              <w:t xml:space="preserve">4.     A commitment to supporting and encouraging equality and diversity in all its forms.  </w:t>
              <w:br w:type="textWrapping"/>
            </w:r>
            <w:r>
              <w:rPr>
                <w:rFonts w:ascii="Times New Roman" w:hAnsi="Times New Roman" w:eastAsia="Times New Roman" w:cs="Times New Roman"/>
                <w:sz w:val="24"/>
                <w:szCs w:val="24"/>
                <w:lang w:val="en-GB" w:eastAsia="en-GB" w:bidi="en-GB"/>
              </w:rPr>
              <w:t xml:space="preserve">5.    Evidence of ability to participate in and develop both internal and external networks and utilise them to enhance the teaching and scholarship activities of the School. </w:t>
              <w:br w:type="textWrapping"/>
            </w:r>
            <w:r>
              <w:rPr>
                <w:rFonts w:ascii="Times New Roman" w:hAnsi="Times New Roman" w:eastAsia="Times New Roman" w:cs="Times New Roman"/>
                <w:sz w:val="24"/>
                <w:szCs w:val="24"/>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hAnsi="Times New Roman" w:eastAsia="Times New Roman" w:cs="Times New Roman"/>
          <w:sz w:val="24"/>
          <w:szCs w:val="24"/>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bullet"/>
      <w:suff w:val="tab"/>
      <w:lvlText w:val=""/>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 w:type="character" w:styleId="CommentReference">
    <w:name w:val="annotation reference"/>
    <w:qFormat/>
    <w:rPr>
      <w:sz w:val="16"/>
      <w:szCs w:val="16"/>
      <w:rtl w:val="off"/>
    </w:rPr>
  </w:style>
  <w:style w:type="character" w:styleId="Hyperlink">
    <w:name w:val="Hyperlink"/>
    <w:qFormat/>
    <w:rPr>
      <w:color w:val="467886"/>
      <w:u w:val="single"/>
      <w:rtl w:val="off"/>
    </w:rPr>
  </w:style>
  <w:style w:type="character" w:styleId="UnresolvedMention">
    <w:name w:val="Unresolved Mention"/>
    <w:qFormat/>
    <w:rPr>
      <w:color w:val="605E5C"/>
      <w:shd w:val="clear" w:color="auto" w:fill="E1DFDD"/>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Aptos" w:hAnsi="Aptos" w:eastAsia="Aptos" w:cs="Aptos"/>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Hammond</dc:creator>
  <dcterms:created xsi:type="dcterms:W3CDTF">2026-05-19T14:17:00Z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0x010100B8EA5302B9BA0E4DBF5F7397E62DB9F1</vt:lpwstr>
  </property>
</Properties>
</file>