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r>
        <w:drawing>
          <wp:anchor distT="0" distB="0" distL="114300" distR="114300" simplePos="0" relativeHeight="251659263" behindDoc="0" locked="0" layoutInCell="1" hidden="0" allowOverlap="1">
            <wp:simplePos x="0" y="0"/>
            <wp:positionH relativeFrom="column">
              <wp:posOffset>4924425</wp:posOffset>
            </wp:positionH>
            <wp:positionV relativeFrom="paragraph">
              <wp:posOffset>0</wp:posOffset>
            </wp:positionV>
            <wp:extent cx="809625" cy="771525"/>
            <wp:wrapSquare wrapText="bothSides"/>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809625" cy="771525"/>
                    </a:xfrm>
                    <a:prstGeom prst="rect">
                      <a:avLst/>
                    </a:prstGeom>
                  </pic:spPr>
                </pic:pic>
              </a:graphicData>
            </a:graphic>
          </wp:anchor>
        </w:drawing>
      </w:r>
      <w:r>
        <w:rPr>
          <w:rFonts w:ascii="Arial" w:hAnsi="Arial" w:eastAsia="Arial" w:cs="Arial"/>
          <w:b/>
          <w:bCs/>
          <w:lang w:val="en-US" w:eastAsia="en-US" w:bidi="en-US"/>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2376"/>
        <w:gridCol w:w="1560"/>
      </w:tblGrid>
      <w:tr>
        <w:trPr>
          <w:trHeight w:val="455"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Job Evaluation Code</w:t>
            </w:r>
          </w:p>
        </w:tc>
        <w:tc>
          <w:tcPr>
            <w:tcW w:w="15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r>
              <w:rPr>
                <w:rFonts w:ascii="Arial" w:hAnsi="Arial" w:eastAsia="Arial" w:cs="Arial"/>
                <w:b/>
                <w:bCs/>
                <w:lang w:val="en-US" w:eastAsia="en-US" w:bidi="en-US"/>
              </w:rPr>
              <w:t xml:space="preserve">00006</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76"/>
        <w:gridCol w:w="6866"/>
      </w:tblGrid>
      <w:tr>
        <w:trPr>
          <w:trHeight w:val="407"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Job Title</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Reaching Wider Officer</w:t>
            </w:r>
          </w:p>
        </w:tc>
      </w:tr>
      <w:tr>
        <w:trPr>
          <w:trHeight w:val="413"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School/Directorate</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Communications and Marketing </w:t>
            </w:r>
          </w:p>
        </w:tc>
      </w:tr>
      <w:tr>
        <w:trPr>
          <w:trHeight w:val="419"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Job Grade</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5</w:t>
            </w:r>
          </w:p>
        </w:tc>
      </w:tr>
      <w:tr>
        <w:trPr>
          <w:trHeight w:val="419"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Career Pathway</w:t>
            </w:r>
          </w:p>
        </w:tc>
        <w:tc>
          <w:tcPr>
            <w:tcW w:w="686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MPSS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b/>
          <w:bCs/>
          <w:lang w:val="en-US" w:eastAsia="en-US" w:bidi="en-US"/>
        </w:rPr>
        <w:t xml:space="preserve">Organisation Structure </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3"/>
      </w:tblGrid>
      <w:tr>
        <w:trPr>
          <w:trHeight w:val="419" w:hRule="atLeast"/>
        </w:trPr>
        <w:tc>
          <w:tcPr>
            <w:tcW w:w="9243" w:type="dxa"/>
            <w:tcBorders>
              <w:bottom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i/>
                <w:iCs/>
                <w:lang w:val="en-US" w:eastAsia="en-US" w:bidi="en-US"/>
              </w:rPr>
              <w:t xml:space="preserve">Insert Org Chart if available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76"/>
        <w:gridCol w:w="6867"/>
      </w:tblGrid>
      <w:tr>
        <w:trPr>
          <w:trHeight w:val="419" w:hRule="atLeast"/>
        </w:trPr>
        <w:tc>
          <w:tcPr>
            <w:tcW w:w="2376"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Post Responsible To</w:t>
            </w:r>
          </w:p>
        </w:tc>
        <w:tc>
          <w:tcPr>
            <w:tcW w:w="6867"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Reaching Wider Manager</w:t>
            </w:r>
          </w:p>
        </w:tc>
      </w:tr>
      <w:tr>
        <w:trPr>
          <w:trHeight w:val="419" w:hRule="atLeast"/>
        </w:trPr>
        <w:tc>
          <w:tcPr>
            <w:tcW w:w="237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Posts Responsible For</w:t>
            </w:r>
          </w:p>
        </w:tc>
        <w:tc>
          <w:tcPr>
            <w:tcW w:w="686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N/A</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r>
        <w:rPr>
          <w:rFonts w:ascii="Arial" w:hAnsi="Arial" w:eastAsia="Arial" w:cs="Arial"/>
          <w:b/>
          <w:bCs/>
          <w:lang w:val="en-US" w:eastAsia="en-US" w:bidi="en-US"/>
        </w:rPr>
        <w:t xml:space="preserve">Duties and Responsibilities</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2"/>
      </w:tblGrid>
      <w:tr>
        <w:tc>
          <w:tcPr>
            <w:tcW w:w="9242" w:type="dxa"/>
            <w:shd w:val="clear" w:color="auto" w:fill="auto"/>
            <w:vAlign w:val="top"/>
          </w:tcPr>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To be an effective practitioner in the design, delivery and evaluation of programmes on behalf of the university to external and internal partners. Managing a portfolio of programmes as the lead practitioner for this area of work in your employing university.</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Lead all aspects of project management to ensure your portfolio of Reaching Wider programmes are delivered for the partnership. To include: programme design, promotion and delivery to targeted audiences including budgeting, risk management and safeguarding; data collection, evaluation, analysis and reporting. Proactively measuring and reviewing programme and portfolio impact to ensure best practice and value for money across the partnership's offer.</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To work with the university’s Reaching Wider Manager in delivering an effective and integrated programme of activity that will achieve the objectives and KPIs of the South East Wales Reaching Wider Strategy.</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Internal and external stakeholder management: Establish and maintain working relationships with key contacts, developing links with the University’s Schools/Faculties/Directorates to strengthen the Reaching Wider offer and brand. To network with partners across the South East Wales partnership and Reaching Wider nationally.</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Provide professional advice and guidance on Reaching Wider purpose, processes and procedures to internal and external customers, using judgement and creativity to suggest the most appropriate course of action where appropriate, and ensuring complex and conceptual issues are understood.</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Contribute to raising the partnership's profile and celebrating success through regular, effective evaluation and storytelling. This will be achieved using a multi-media approach across multiple platforms, including Reaching Wider and partner org social media and websites, publications and reports.</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Support the formulation of consultation responses and collation of information for internal and external returns, in particular termly reporting to Boards and the annual Compliance and Effectiveness report to MEDR.</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Collaborate with others to make recommendations for developments of established processes and procedures. For example, this might include establishing working groups with colleagues across the universities and the project partnership to achieve the Reaching Wider objectives or running focus groups with key stakeholders and learners to inform future development.</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jc w:val="both"/>
              <w:rPr>
                <w:rFonts w:ascii="Arial" w:hAnsi="Arial" w:eastAsia="Arial" w:cs="Arial"/>
                <w:b/>
                <w:bCs/>
                <w:lang w:val="en-US" w:eastAsia="en-US" w:bidi="en-US"/>
              </w:rPr>
            </w:pPr>
            <w:r>
              <w:rPr>
                <w:rFonts w:ascii="Arial" w:hAnsi="Arial" w:eastAsia="Arial" w:cs="Arial"/>
                <w:lang w:val="en-US" w:eastAsia="en-US" w:bidi="en-US"/>
              </w:rPr>
              <w:t xml:space="preserve">Oversee the recruitment, training and supervision of a student workforce to aid the successful delivery of Reaching Wider programmes.</w:t>
            </w:r>
          </w:p>
          <w:p>
            <w:pPr>
              <w:pStyle w:val="Normal"/>
              <w:widowControl w:val="on"/>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hanging="360"/>
              <w:jc w:val="both"/>
              <w:rPr>
                <w:rFonts w:ascii="Arial" w:hAnsi="Arial" w:eastAsia="Arial" w:cs="Arial"/>
                <w:lang w:val="en-US" w:eastAsia="en-US" w:bidi="en-US"/>
              </w:rPr>
            </w:pPr>
            <w:r>
              <w:rPr>
                <w:rFonts w:ascii="Arial" w:hAnsi="Arial" w:eastAsia="Arial" w:cs="Arial"/>
                <w:lang w:val="en-US" w:eastAsia="en-US" w:bidi="en-US"/>
              </w:rPr>
              <w:t xml:space="preserve">Other duties commensurate with the grade which may be assigned from time to time.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US" w:eastAsia="en-US" w:bidi="en-US"/>
        </w:rPr>
      </w:pPr>
      <w:r>
        <w:rPr>
          <w:rFonts w:ascii="Arial" w:hAnsi="Arial" w:eastAsia="Arial" w:cs="Arial"/>
          <w:b/>
          <w:bCs/>
          <w:lang w:val="en-US" w:eastAsia="en-US" w:bidi="en-US"/>
        </w:rPr>
        <w:t xml:space="preserve">Person Specification </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242"/>
      </w:tblGrid>
      <w:tr>
        <w:trPr>
          <w:trHeight w:val="455" w:hRule="atLeast"/>
        </w:trPr>
        <w:tc>
          <w:tcPr>
            <w:tcW w:w="92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Essential Criteria </w:t>
            </w:r>
          </w:p>
        </w:tc>
      </w:tr>
      <w:tr>
        <w:tc>
          <w:tcPr>
            <w:tcW w:w="9242" w:type="dxa"/>
            <w:shd w:val="clear" w:color="auto" w:fill="auto"/>
            <w:vAlign w:val="top"/>
          </w:tcPr>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Degree/NVQ 6 or equivalent Professional membership/experience. </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Full and valid UK/EU driver’s licence, and willingness to drive and travel independently throughout South East Wales.</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Experience of working with Reaching Wider priority audiences e.g. those from underrepresented backgrounds in HE.</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Evidence of demonstrable knowledge of key advances within the University sector, specifically associated with the widening access agenda. </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Ability to set up standard office systems and procedures and make improvements as appropriate. </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Ability to communicate conceptually detailed and complex information effectively and professionally with a wide range of people. This includes, for example, the ability to deliver engaging talks to target audiences, as well as presenting to senior managers. </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Evidence of ability to explore customers’ needs and adapt the service accordingly to ensure a quality service is delivered. </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Evidence of ability to solve expansive problems using initiative and creativity; identifying and proposing practical solutions and resolving problems with range of potential outcomes. </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lang w:val="en-US" w:eastAsia="en-US" w:bidi="en-US"/>
              </w:rPr>
            </w:pPr>
            <w:r>
              <w:rPr>
                <w:rFonts w:ascii="Arial" w:hAnsi="Arial" w:eastAsia="Arial" w:cs="Arial"/>
                <w:lang w:val="en-US" w:eastAsia="en-US" w:bidi="en-US"/>
              </w:rPr>
              <w:t xml:space="preserve">Evidence of ability to work unsupervised to deadlines, planning and setting priorities for own work and that of others and monitoring progress. </w:t>
            </w:r>
          </w:p>
          <w:p>
            <w:pPr>
              <w:pStyle w:val="Normal"/>
              <w:widowControl w:val="on"/>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714" w:hanging="357"/>
              <w:rPr>
                <w:rFonts w:ascii="Arial" w:hAnsi="Arial" w:eastAsia="Arial" w:cs="Arial"/>
                <w:color w:val="000000"/>
                <w:u w:val="single"/>
                <w:lang w:val="en-US" w:eastAsia="en-US" w:bidi="en-US"/>
              </w:rPr>
            </w:pPr>
            <w:r>
              <w:rPr>
                <w:rFonts w:ascii="Arial" w:hAnsi="Arial" w:eastAsia="Arial" w:cs="Arial"/>
                <w:lang w:val="en-US" w:eastAsia="en-US" w:bidi="en-US"/>
              </w:rPr>
              <w:t xml:space="preserve">Commitment to and awareness of the importance of Widening Participation and the equality, diversity and inclusion agenda.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US" w:eastAsia="en-US" w:bidi="en-US"/>
              </w:rPr>
            </w:pPr>
          </w:p>
        </w:tc>
      </w:tr>
      <w:tr>
        <w:trPr>
          <w:trHeight w:val="433" w:hRule="atLeast"/>
        </w:trPr>
        <w:tc>
          <w:tcPr>
            <w:tcW w:w="924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Desirable Criteria </w:t>
            </w:r>
          </w:p>
        </w:tc>
      </w:tr>
      <w:tr>
        <w:tc>
          <w:tcPr>
            <w:tcW w:w="9242" w:type="dxa"/>
            <w:shd w:val="clear" w:color="auto" w:fill="auto"/>
            <w:vAlign w:val="top"/>
          </w:tcPr>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widowControl w:val="on"/>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Postgraduate/Professional qualification.</w:t>
            </w:r>
          </w:p>
          <w:p>
            <w:pPr>
              <w:pStyle w:val="Normal"/>
              <w:widowControl w:val="on"/>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rPr>
                <w:rFonts w:ascii="Arial" w:hAnsi="Arial" w:eastAsia="Arial" w:cs="Arial"/>
                <w:lang w:val="en-US" w:eastAsia="en-US" w:bidi="en-US"/>
              </w:rPr>
            </w:pPr>
            <w:r>
              <w:rPr>
                <w:rFonts w:ascii="Arial" w:hAnsi="Arial" w:eastAsia="Arial" w:cs="Arial"/>
                <w:lang w:val="en-US" w:eastAsia="en-US" w:bidi="en-US"/>
              </w:rPr>
              <w:t xml:space="preserve">Experience of working in a Higher Education environment.</w:t>
            </w:r>
          </w:p>
          <w:p>
            <w:pPr>
              <w:pStyle w:val="ListParagraph"/>
              <w:widowControl w:val="on"/>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720" w:hanging="360"/>
              <w:rPr>
                <w:rFonts w:ascii="Arial" w:hAnsi="Arial" w:eastAsia="Arial" w:cs="Arial"/>
                <w:lang w:val="en-US" w:eastAsia="en-US" w:bidi="en-US"/>
              </w:rPr>
            </w:pPr>
            <w:r>
              <w:rPr>
                <w:rFonts w:ascii="Arial" w:hAnsi="Arial" w:eastAsia="Arial" w:cs="Arial"/>
                <w:lang w:val="en-US" w:eastAsia="en-US" w:bidi="en-US"/>
              </w:rPr>
              <w:t xml:space="preserve">Fluency in Welsh, written and oral.</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eastAsia="Arial" w:cs="Arial"/>
          <w:b/>
          <w:bCs/>
          <w:lang w:val="en-US" w:eastAsia="en-US" w:bidi="en-US"/>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242"/>
      </w:tblGrid>
      <w:tr>
        <w:tc>
          <w:tcPr>
            <w:tcW w:w="924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Widening participation is about supporting the access, progression and success of students from groups that are traditionally under-represented in higher education and support them throughout the student lifecycle. These include: people who identify as being from people from disadvantaged communities; people who have experienced care; young carers; people with disabilities; Black, Asian or Minority Ethnic Communities (BAME); those from families with no previous experience of higher education; mature students.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Arial" w:hAnsi="Arial" w:eastAsia="Arial" w:cs="Arial"/>
                <w:lang w:val="en-US" w:eastAsia="en-US" w:bidi="en-US"/>
              </w:rPr>
            </w:pPr>
            <w:r>
              <w:rPr>
                <w:rFonts w:ascii="Arial" w:hAnsi="Arial" w:eastAsia="Arial" w:cs="Arial"/>
                <w:lang w:val="en-US" w:eastAsia="en-US" w:bidi="en-US"/>
              </w:rPr>
              <w:br w:type="textWrapping"/>
            </w:r>
            <w:r>
              <w:rPr>
                <w:rFonts w:ascii="Arial" w:hAnsi="Arial" w:eastAsia="Arial" w:cs="Arial"/>
                <w:lang w:val="en-US" w:eastAsia="en-US" w:bidi="en-US"/>
              </w:rPr>
              <w:t xml:space="preserve">Through a range of activities, the Reaching Wider Team and colleagues throughout the partner universities support learners from across South East Wales to break down the barriers to higher education and help them to reach their potential.</w:t>
              <w:br w:type="textWrapping"/>
            </w:r>
            <w:r>
              <w:rPr>
                <w:rFonts w:ascii="Arial" w:hAnsi="Arial" w:eastAsia="Arial" w:cs="Arial"/>
                <w:lang w:val="en-US" w:eastAsia="en-US" w:bidi="en-US"/>
              </w:rPr>
              <w:br w:type="textWrapping"/>
            </w:r>
            <w:r>
              <w:rPr>
                <w:rStyle w:val="Strong"/>
                <w:rFonts w:ascii="Arial" w:hAnsi="Arial" w:eastAsia="Arial" w:cs="Arial"/>
                <w:lang w:val="en-US" w:eastAsia="en-US" w:bidi="en-US"/>
              </w:rPr>
              <w:t xml:space="preserve">About the Department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br w:type="textWrapping"/>
            </w:r>
            <w:r>
              <w:rPr>
                <w:rFonts w:ascii="Arial" w:hAnsi="Arial" w:eastAsia="Arial" w:cs="Arial"/>
                <w:lang w:val="en-US" w:eastAsia="en-US" w:bidi="en-US"/>
              </w:rPr>
              <w:t xml:space="preserve">The Communications and Marketing Department is responsible for the University’s reputation and branding as well as UK/International student recruitment operations. It covers six areas: communications and public affairs, marketing, UK student recruitment and outreach, digital communications, international and admissions.</w:t>
              <w:br w:type="textWrapping"/>
            </w:r>
            <w:r>
              <w:rPr>
                <w:rFonts w:ascii="Arial" w:hAnsi="Arial" w:eastAsia="Arial" w:cs="Arial"/>
                <w:lang w:val="en-US" w:eastAsia="en-US" w:bidi="en-US"/>
              </w:rPr>
              <w:t xml:space="preserve">Communications plays an important part in building and maintaining the reputation of the University through effective communication to the public and to external and internal stakeholders. It communicates the achievements and aspirations of the University through a variety of media and includes a film unit. The team represents the University on a corporate level. Public affairs lead on stakeholder relationships locally, nationally and internationally.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Digital Communications is responsible for the design, development and content of the external website and the intranet.</w:t>
              <w:br w:type="textWrapping"/>
            </w:r>
            <w:r>
              <w:rPr>
                <w:rFonts w:ascii="Arial" w:hAnsi="Arial" w:eastAsia="Arial" w:cs="Arial"/>
                <w:lang w:val="en-US" w:eastAsia="en-US" w:bidi="en-US"/>
              </w:rPr>
              <w:br w:type="textWrapping"/>
            </w:r>
            <w:r>
              <w:rPr>
                <w:rFonts w:ascii="Arial" w:hAnsi="Arial" w:eastAsia="Arial" w:cs="Arial"/>
                <w:lang w:val="en-US" w:eastAsia="en-US" w:bidi="en-US"/>
              </w:rPr>
              <w:t xml:space="preserve">Marketing is responsible for developing a strong brand identity for the University at the corporate level, with an emphasis on better visual branding and market research.</w:t>
              <w:br w:type="textWrapping"/>
            </w:r>
            <w:r>
              <w:rPr>
                <w:rFonts w:ascii="Arial" w:hAnsi="Arial" w:eastAsia="Arial" w:cs="Arial"/>
                <w:lang w:val="en-US" w:eastAsia="en-US" w:bidi="en-US"/>
              </w:rPr>
              <w:t xml:space="preserve">UK Student recruitment and Outreach plays an important role in attracting the University's undergraduate and postgraduate students from throughout the UK; in addition to managing the University’s widening participation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The International Office drives the University’s international recruitment strategy and advises on all areas related to international recruitment and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Admissions are responsible for managing thousands of applications each year from both UK and international students, as well as leading on the development and implementation of our admissions policies.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tc>
      </w:tr>
    </w:tbl>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9" w:lineRule="exact"/>
        <w:ind w:left="0" w:right="5629"/>
        <w:jc w:val="both"/>
        <w:rPr>
          <w:sz w:val="22"/>
          <w:szCs w:val="22"/>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9" w:lineRule="exact"/>
        <w:ind w:left="0" w:right="5629"/>
        <w:jc w:val="both"/>
        <w:rPr>
          <w:sz w:val="22"/>
          <w:szCs w:val="22"/>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9" w:lineRule="exact"/>
        <w:ind w:left="0" w:right="5629"/>
        <w:jc w:val="both"/>
        <w:rPr>
          <w:sz w:val="22"/>
          <w:szCs w:val="22"/>
          <w:lang w:val="en-US" w:eastAsia="en-US" w:bidi="en-US"/>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9" w:lineRule="exact"/>
        <w:ind w:left="0" w:right="5629"/>
        <w:jc w:val="both"/>
        <w:rPr>
          <w:sz w:val="22"/>
          <w:szCs w:val="22"/>
          <w:lang w:val="en-US" w:eastAsia="en-US" w:bidi="en-US"/>
        </w:rPr>
      </w:pPr>
    </w:p>
    <w:sectPr>
      <w:footerReference w:type="default" r:id="rId00007"/>
      <w:pgSz w:w="11904" w:h="16840"/>
      <w:pgMar w:top="1340" w:right="1320" w:bottom="860" w:left="1340" w:header="0" w:footer="66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exact"/>
      <w:rPr>
        <w:sz w:val="20"/>
        <w:szCs w:val="20"/>
        <w:lang w:val="en-US" w:eastAsia="en-US" w:bidi="en-US"/>
      </w:rPr>
    </w:pPr>
    <w:r>
      <w:pict>
        <v:shape id="Text Box 1" coordsize="21600,21600" o:spt="202" path="m,l,21600r21600,l21600,xe" fillcolor="#FFFFFF" stroked="f" strokeweight="0" style="width:173.15pt;height:16.3pt;position:absolute;margin-left:71pt;margin-top:804.5pt;z-index:-251657216;mso-wrap-distance-right:114300;mso-wrap-distance-left:114300;mso-position-horizontal-relative:page;mso-position-vertical-relative:page;">
          <v:fill opacity="0"/>
          <v:stroke joinstyle="miter"/>
          <v:path gradientshapeok="t" o:connecttype="rect"/>
          <v:textbox inset="0pt,0pt,0pt,0pt">
            <w:txbxContent>
              <w:p>
                <w:pPr>
                  <w:pStyle w:val="Normal"/>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2" w:lineRule="exact"/>
                  <w:ind w:left="20"/>
                  <w:rPr>
                    <w:rFonts w:ascii="Arial" w:hAnsi="Arial" w:eastAsia="Arial" w:cs="Arial"/>
                    <w:sz w:val="16"/>
                    <w:szCs w:val="16"/>
                    <w:lang w:val="en-US" w:eastAsia="en-US" w:bidi="en-US"/>
                  </w:rPr>
                </w:pPr>
              </w:p>
            </w:txbxContent>
          </v:textbox>
          <w10:wrap type="none"/>
        </v:shape>
      </w:pict>
    </w:r>
  </w:p>
</w:ft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1">
    <w:multiLevelType w:val="singleLevel"/>
    <w:lvl w:ilvl="0">
      <w:start w:val="1"/>
      <w:numFmt w:val="decimal"/>
      <w:suff w:val="tab"/>
      <w:lvlText w:val="%1."/>
      <w:pPr>
        <w:ind w:left="714" w:hanging="357"/>
        <w:tabs>
          <w:tab w:val="num" w:pos="714"/>
        </w:tabs>
      </w:pPr>
      <w:rPr>
        <w:rFonts w:hint="default" w:ascii="Arial" w:hAnsi="Arial" w:eastAsia="Arial" w:cs="Arial"/>
        <w:b w:val="off"/>
        <w:i w:val="off"/>
        <w:strike w:val="off"/>
        <w:color w:val="auto"/>
        <w:position w:val="0"/>
        <w:sz w:val="22"/>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Heading1">
    <w:name w:val="heading 1"/>
    <w:basedOn w:val="Normal"/>
    <w:next w:val="Heading1"/>
    <w:qFormat/>
    <w:pPr>
      <w:ind w:left="100"/>
      <w:outlineLvl w:val="0"/>
    </w:pPr>
    <w:rPr>
      <w:rFonts w:ascii="Arial" w:hAnsi="Arial" w:eastAsia="Arial" w:cs="Arial"/>
      <w:b/>
      <w:bCs/>
      <w:sz w:val="26"/>
      <w:szCs w:val="26"/>
      <w:lang w:val="en-US" w:eastAsia="en-US" w:bidi="en-US"/>
    </w:rPr>
  </w:style>
  <w:style w:type="paragraph" w:styleId="Heading2">
    <w:name w:val="heading 2"/>
    <w:basedOn w:val="Normal"/>
    <w:next w:val="Heading2"/>
    <w:qFormat/>
    <w:pPr>
      <w:ind w:left="100"/>
      <w:outlineLvl w:val="1"/>
    </w:pPr>
    <w:rPr>
      <w:rFonts w:ascii="Arial" w:hAnsi="Arial" w:eastAsia="Arial" w:cs="Arial"/>
      <w:b/>
      <w:bCs/>
      <w:sz w:val="24"/>
      <w:szCs w:val="24"/>
      <w:lang w:val="en-US" w:eastAsia="en-US" w:bidi="en-US"/>
    </w:rPr>
  </w:style>
  <w:style w:type="paragraph" w:styleId="BodyText">
    <w:name w:val="Body Text"/>
    <w:basedOn w:val="Normal"/>
    <w:next w:val="BodyText"/>
    <w:qFormat/>
    <w:pPr>
      <w:ind w:left="100"/>
    </w:pPr>
    <w:rPr>
      <w:rFonts w:ascii="Arial" w:hAnsi="Arial" w:eastAsia="Arial" w:cs="Arial"/>
      <w:sz w:val="24"/>
      <w:szCs w:val="24"/>
      <w:lang w:val="en-US" w:eastAsia="en-US" w:bidi="en-US"/>
    </w:rPr>
  </w:style>
  <w:style w:type="paragraph" w:styleId="ListParagraph">
    <w:name w:val="List Paragraph"/>
    <w:basedOn w:val="Normal"/>
    <w:next w:val="ListParagraph"/>
    <w:qFormat/>
    <w:pPr/>
    <w:rPr>
      <w:lang w:val="en-US" w:eastAsia="en-US" w:bidi="en-US"/>
    </w:rPr>
  </w:style>
  <w:style w:type="paragraph" w:styleId="Table Paragraph" w:customStyle="1">
    <w:name w:val="Table Paragraph"/>
    <w:basedOn w:val="Normal"/>
    <w:next w:val="Table Paragraph"/>
    <w:qFormat/>
    <w:pPr/>
    <w:rPr>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US" w:eastAsia="en-US" w:bidi="en-US"/>
    </w:rPr>
  </w:style>
  <w:style w:type="character" w:styleId="Footer Char" w:customStyle="1">
    <w:name w:val="Footer Char"/>
    <w:qFormat/>
    <w:rPr>
      <w:rtl w:val="off"/>
    </w:rPr>
  </w:style>
  <w:style w:type="character" w:styleId="Hyperlink">
    <w:name w:val="Hyperlink"/>
    <w:qFormat/>
    <w:rPr>
      <w:color w:val="0000FF"/>
      <w:u w:val="single"/>
      <w:rtl w:val="off"/>
    </w:rPr>
  </w:style>
  <w:style w:type="character" w:styleId="UnresolvedMention">
    <w:name w:val="Unresolved Mention"/>
    <w:qFormat/>
    <w:rPr>
      <w:color w:val="605E5C"/>
      <w:shd w:val="clear" w:color="auto" w:fill="E1DFDD"/>
      <w:rtl w:val="off"/>
    </w:rPr>
  </w:style>
  <w:style w:type="character" w:styleId="Strong">
    <w:name w:val="Strong"/>
    <w:qFormat/>
    <w:rPr>
      <w:b/>
      <w:bCs/>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footer" Target="footer0001.xml"/>
	<Relationship Id="rId00006" Type="http://schemas.openxmlformats.org/officeDocument/2006/relationships/image" Target="media/image0001.jpg"/>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dcterms:created xsi:type="dcterms:W3CDTF">2026-05-29T15:53:00Z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0x0101005F424C1217230C48988298C1B2709D9D</vt:lpwstr>
  </property>
</Properties>
</file>