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6000"/>
      </w:tblGrid>
      <w:tr>
        <w:tc>
          <w:tcPr>
            <w:tcW w:w="600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8160"/>
      </w:tblGrid>
      <w:tr>
        <w:tc>
          <w:tcPr>
            <w:tcW w:w="816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u w:val="single"/>
                <w:lang w:val="en-GB" w:eastAsia="en-GB" w:bidi="en-GB"/>
              </w:rPr>
              <w:t xml:space="preserve">Job Purpose </w:t>
            </w:r>
            <w:r>
              <w:rPr>
                <w:rFonts w:ascii="Arial" w:hAnsi="Arial" w:eastAsia="Arial" w:cs="Arial"/>
                <w:lang w:val="en-GB" w:eastAsia="en-GB" w:bidi="en-GB"/>
              </w:rPr>
              <w:br w:type="textWrapping"/>
            </w:r>
            <w:r>
              <w:rPr>
                <w:rFonts w:ascii="Arial" w:hAnsi="Arial" w:eastAsia="Arial" w:cs="Arial"/>
                <w:lang w:val="en-GB" w:eastAsia="en-GB" w:bidi="en-GB"/>
              </w:rPr>
              <w:t xml:space="preserve">As a member of the Research Service, to provide a comprehensive professional administrative service predominantly to the School of Medicine, providing support, guidance and administration for research grants applications and ethics. Working as part of a small team, ensuring that research activities are professionally delivered and the needs of our staff and funders are met.</w:t>
              <w:br w:type="textWrapping"/>
            </w:r>
            <w:r>
              <w:rPr>
                <w:rFonts w:ascii="Arial" w:hAnsi="Arial" w:eastAsia="Arial" w:cs="Arial"/>
                <w:lang w:val="en-GB" w:eastAsia="en-GB" w:bidi="en-GB"/>
              </w:rPr>
              <w:br w:type="textWrapping"/>
            </w:r>
            <w:r>
              <w:rPr>
                <w:rFonts w:ascii="Arial" w:hAnsi="Arial" w:eastAsia="Arial" w:cs="Arial"/>
                <w:b/>
                <w:bCs/>
                <w:u w:val="single"/>
                <w:lang w:val="en-GB" w:eastAsia="en-GB" w:bidi="en-GB"/>
              </w:rPr>
              <w:t xml:space="preserve">Duties and Responsibilities </w:t>
            </w:r>
            <w:r>
              <w:rPr>
                <w:rFonts w:ascii="Arial" w:hAnsi="Arial" w:eastAsia="Arial" w:cs="Arial"/>
                <w:b/>
                <w:bCs/>
                <w:lang w:val="en-GB" w:eastAsia="en-GB" w:bidi="en-GB"/>
              </w:rPr>
              <w:br w:type="textWrapping"/>
            </w:r>
            <w:r>
              <w:rPr>
                <w:rFonts w:ascii="Arial" w:hAnsi="Arial" w:eastAsia="Arial" w:cs="Arial"/>
                <w:b/>
                <w:bCs/>
                <w:lang w:val="en-GB" w:eastAsia="en-GB" w:bidi="en-GB"/>
              </w:rPr>
              <w:br w:type="textWrapping"/>
            </w:r>
            <w:r>
              <w:rPr>
                <w:rFonts w:ascii="Arial" w:hAnsi="Arial" w:eastAsia="Arial" w:cs="Arial"/>
                <w:b/>
                <w:bCs/>
                <w:lang w:val="en-GB" w:eastAsia="en-GB" w:bidi="en-GB"/>
              </w:rPr>
              <w:t xml:space="preserve">Key Duties </w:t>
            </w:r>
            <w:r>
              <w:rPr>
                <w:rFonts w:ascii="Arial" w:hAnsi="Arial" w:eastAsia="Arial" w:cs="Arial"/>
                <w:lang w:val="en-GB" w:eastAsia="en-GB" w:bidi="en-GB"/>
              </w:rPr>
              <w:br w:type="textWrapping"/>
            </w:r>
            <w:r>
              <w:rPr>
                <w:rFonts w:ascii="Arial" w:hAnsi="Arial" w:eastAsia="Arial" w:cs="Arial"/>
                <w:lang w:val="en-GB" w:eastAsia="en-GB" w:bidi="en-GB"/>
              </w:rPr>
              <w:t xml:space="preserve">• Provide detailed advice and guidance on Research Administration (in particular funding application submissions and related activities) processes and procedures to internal customers, using judgement and creativity to suggest the most appropriate course of action where appropriate, contributing to the resolution of more complex issues. </w:t>
              <w:br w:type="textWrapping"/>
            </w:r>
            <w:r>
              <w:rPr>
                <w:rFonts w:ascii="Arial" w:hAnsi="Arial" w:eastAsia="Arial" w:cs="Arial"/>
                <w:lang w:val="en-GB" w:eastAsia="en-GB" w:bidi="en-GB"/>
              </w:rPr>
              <w:t xml:space="preserve">• Collaborate with others in order to make recommendations for developments of established processes and procedures. </w:t>
              <w:br w:type="textWrapping"/>
            </w:r>
            <w:r>
              <w:rPr>
                <w:rFonts w:ascii="Arial" w:hAnsi="Arial" w:eastAsia="Arial" w:cs="Arial"/>
                <w:lang w:val="en-GB" w:eastAsia="en-GB" w:bidi="en-GB"/>
              </w:rPr>
              <w:t xml:space="preserve">• Establish working relationships with key contacts to help improve service levels, developing appropriate communication links with the University’s Schools/Directorates and outside bodies as required. </w:t>
              <w:br w:type="textWrapping"/>
            </w:r>
            <w:r>
              <w:rPr>
                <w:rFonts w:ascii="Arial" w:hAnsi="Arial" w:eastAsia="Arial" w:cs="Arial"/>
                <w:lang w:val="en-GB" w:eastAsia="en-GB" w:bidi="en-GB"/>
              </w:rPr>
              <w:t xml:space="preserve">• Undertake a variety of administrative duties to support the team and department. </w:t>
              <w:br w:type="textWrapping"/>
            </w:r>
            <w:r>
              <w:rPr>
                <w:rFonts w:ascii="Arial" w:hAnsi="Arial" w:eastAsia="Arial" w:cs="Arial"/>
                <w:lang w:val="en-GB" w:eastAsia="en-GB" w:bidi="en-GB"/>
              </w:rPr>
              <w:t xml:space="preserve">• Gather and analyse data to inform decisions, establishing basic trends and patterns in data and creating reports as appropriate, to support a range of activities including Research Excellence Framework and School/University management Information Systems. </w:t>
              <w:br w:type="textWrapping"/>
            </w:r>
            <w:r>
              <w:rPr>
                <w:rFonts w:ascii="Arial" w:hAnsi="Arial" w:eastAsia="Arial" w:cs="Arial"/>
                <w:lang w:val="en-GB" w:eastAsia="en-GB" w:bidi="en-GB"/>
              </w:rPr>
              <w:t xml:space="preserve">• Instruct and guide other employees across the School (and/or University as appropriate) regarding funding information and opportunities, and the grant submission processes. </w:t>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General Duties </w:t>
            </w:r>
            <w:r>
              <w:rPr>
                <w:rFonts w:ascii="Arial" w:hAnsi="Arial" w:eastAsia="Arial" w:cs="Arial"/>
                <w:lang w:val="en-GB" w:eastAsia="en-GB" w:bidi="en-GB"/>
              </w:rPr>
              <w:br w:type="textWrapping"/>
            </w:r>
            <w:r>
              <w:rPr>
                <w:rFonts w:ascii="Arial" w:hAnsi="Arial" w:eastAsia="Arial" w:cs="Arial"/>
                <w:lang w:val="en-GB" w:eastAsia="en-GB" w:bidi="en-GB"/>
              </w:rPr>
              <w:t xml:space="preserve">• Ensure that an understanding of the importance of confidentiality is applied when undertaking all duties. </w:t>
              <w:br w:type="textWrapping"/>
            </w:r>
            <w:r>
              <w:rPr>
                <w:rFonts w:ascii="Arial" w:hAnsi="Arial" w:eastAsia="Arial" w:cs="Arial"/>
                <w:lang w:val="en-GB" w:eastAsia="en-GB" w:bidi="en-GB"/>
              </w:rPr>
              <w:t xml:space="preserve">• Abide by University policies on Health and Safety and Equality and Diversity. </w:t>
              <w:br w:type="textWrapping"/>
            </w:r>
            <w:r>
              <w:rPr>
                <w:rFonts w:ascii="Arial" w:hAnsi="Arial" w:eastAsia="Arial" w:cs="Arial"/>
                <w:lang w:val="en-GB" w:eastAsia="en-GB" w:bidi="en-GB"/>
              </w:rPr>
              <w:t xml:space="preserve">• Perform other duties occasionally which are not included above, but which will be consistent with the role. </w:t>
              <w:br w:type="textWrapping"/>
            </w:r>
            <w:r>
              <w:rPr>
                <w:rFonts w:ascii="Arial" w:hAnsi="Arial" w:eastAsia="Arial" w:cs="Arial"/>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970"/>
      </w:tblGrid>
      <w:tr>
        <w:tc>
          <w:tcPr>
            <w:tcW w:w="597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Person Specification:</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8190"/>
      </w:tblGrid>
      <w:tr>
        <w:tc>
          <w:tcPr>
            <w:tcW w:w="819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Important note: It is the University’s policy to use the person specification as a key tool for short-listing. Candidates should evidence that they meet ALL of the essential criteria as well as, where relevant, the desirable. As part of the application process you will be asked to provide this evidence via a supporting statement.  Please ensure that the evidence you are providing corresponds with the numbered criteria outlined below. Your application will be considered based on the information you provide under each element.</w:t>
              <w:br w:type="textWrapping"/>
            </w:r>
            <w:r>
              <w:rPr>
                <w:rFonts w:ascii="Arial" w:hAnsi="Arial" w:eastAsia="Arial" w:cs="Arial"/>
                <w:b/>
                <w:bCs/>
                <w:lang w:val="en-GB" w:eastAsia="en-GB" w:bidi="en-GB"/>
              </w:rPr>
              <w:br w:type="textWrapping"/>
            </w:r>
            <w:r>
              <w:rPr>
                <w:rFonts w:ascii="Arial" w:hAnsi="Arial" w:eastAsia="Arial" w:cs="Arial"/>
                <w:b/>
                <w:bCs/>
                <w:lang w:val="en-GB" w:eastAsia="en-GB" w:bidi="en-GB"/>
              </w:rPr>
              <w:t xml:space="preserve">When attaching the supporting statement to your application profile, please ensure that you name it with the vacancy reference number, e.g. Supporting Statement for 182.</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Essential Criteria </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Qualifications and Education </w:t>
            </w:r>
            <w:r>
              <w:rPr>
                <w:rFonts w:ascii="Arial" w:hAnsi="Arial" w:eastAsia="Arial" w:cs="Arial"/>
                <w:lang w:val="en-GB" w:eastAsia="en-GB" w:bidi="en-GB"/>
              </w:rPr>
              <w:br w:type="textWrapping"/>
            </w:r>
            <w:r>
              <w:rPr>
                <w:rFonts w:ascii="Arial" w:hAnsi="Arial" w:eastAsia="Arial" w:cs="Arial"/>
                <w:lang w:val="en-GB" w:eastAsia="en-GB" w:bidi="en-GB"/>
              </w:rPr>
              <w:t xml:space="preserve">1. NVQ 3/A-Levels or equivalent. </w:t>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Knowledge, Skills and Experience </w:t>
            </w:r>
            <w:r>
              <w:rPr>
                <w:rFonts w:ascii="Arial" w:hAnsi="Arial" w:eastAsia="Arial" w:cs="Arial"/>
                <w:lang w:val="en-GB" w:eastAsia="en-GB" w:bidi="en-GB"/>
              </w:rPr>
              <w:br w:type="textWrapping"/>
            </w:r>
            <w:r>
              <w:rPr>
                <w:rFonts w:ascii="Arial" w:hAnsi="Arial" w:eastAsia="Arial" w:cs="Arial"/>
                <w:lang w:val="en-GB" w:eastAsia="en-GB" w:bidi="en-GB"/>
              </w:rPr>
              <w:t xml:space="preserve">2. Substantial experience of working in an administrative role. </w:t>
              <w:br w:type="textWrapping"/>
            </w:r>
            <w:r>
              <w:rPr>
                <w:rFonts w:ascii="Arial" w:hAnsi="Arial" w:eastAsia="Arial" w:cs="Arial"/>
                <w:lang w:val="en-GB" w:eastAsia="en-GB" w:bidi="en-GB"/>
              </w:rPr>
              <w:t xml:space="preserve">3. Specialist knowledge of research grant and/or finance administration. </w:t>
              <w:br w:type="textWrapping"/>
            </w:r>
            <w:r>
              <w:rPr>
                <w:rFonts w:ascii="Arial" w:hAnsi="Arial" w:eastAsia="Arial" w:cs="Arial"/>
                <w:lang w:val="en-GB" w:eastAsia="en-GB" w:bidi="en-GB"/>
              </w:rPr>
              <w:t xml:space="preserve">4. IT literate with excellent Excel skills and the ability to set up standard office systems and procedures and make improvements as appropriate. </w:t>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Customer Service, Communication and Team Working </w:t>
            </w:r>
            <w:r>
              <w:rPr>
                <w:rFonts w:ascii="Arial" w:hAnsi="Arial" w:eastAsia="Arial" w:cs="Arial"/>
                <w:lang w:val="en-GB" w:eastAsia="en-GB" w:bidi="en-GB"/>
              </w:rPr>
              <w:br w:type="textWrapping"/>
            </w:r>
            <w:r>
              <w:rPr>
                <w:rFonts w:ascii="Arial" w:hAnsi="Arial" w:eastAsia="Arial" w:cs="Arial"/>
                <w:lang w:val="en-GB" w:eastAsia="en-GB" w:bidi="en-GB"/>
              </w:rPr>
              <w:t xml:space="preserve">5. Ability to communicate specialist and complex information effectively and professionally to a range of customers with varying levels of understanding. </w:t>
              <w:br w:type="textWrapping"/>
            </w:r>
            <w:r>
              <w:rPr>
                <w:rFonts w:ascii="Arial" w:hAnsi="Arial" w:eastAsia="Arial" w:cs="Arial"/>
                <w:lang w:val="en-GB" w:eastAsia="en-GB" w:bidi="en-GB"/>
              </w:rPr>
              <w:t xml:space="preserve">6. Proven ability to advise and influence key stakeholders. </w:t>
              <w:br w:type="textWrapping"/>
            </w:r>
            <w:r>
              <w:rPr>
                <w:rFonts w:ascii="Arial" w:hAnsi="Arial" w:eastAsia="Arial" w:cs="Arial"/>
                <w:lang w:val="en-GB" w:eastAsia="en-GB" w:bidi="en-GB"/>
              </w:rPr>
              <w:t xml:space="preserve">7. Evidence of ability to explore customers’ needs and adapt the service accordingly to ensure delivery of a quality service </w:t>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Planning, Analysis and Problem solving </w:t>
            </w:r>
            <w:r>
              <w:rPr>
                <w:rFonts w:ascii="Arial" w:hAnsi="Arial" w:eastAsia="Arial" w:cs="Arial"/>
                <w:lang w:val="en-GB" w:eastAsia="en-GB" w:bidi="en-GB"/>
              </w:rPr>
              <w:br w:type="textWrapping"/>
            </w:r>
            <w:r>
              <w:rPr>
                <w:rFonts w:ascii="Arial" w:hAnsi="Arial" w:eastAsia="Arial" w:cs="Arial"/>
                <w:lang w:val="en-GB" w:eastAsia="en-GB" w:bidi="en-GB"/>
              </w:rPr>
              <w:t xml:space="preserve">8. Evidence of ability to solve problems using initiative and creativity, identify and propose practical solutions and to resolve problems where there are a range of potential options available. </w:t>
              <w:br w:type="textWrapping"/>
            </w:r>
            <w:r>
              <w:rPr>
                <w:rFonts w:ascii="Arial" w:hAnsi="Arial" w:eastAsia="Arial" w:cs="Arial"/>
                <w:lang w:val="en-GB" w:eastAsia="en-GB" w:bidi="en-GB"/>
              </w:rPr>
              <w:t xml:space="preserve">9. Evidence of ability to analyse processes and procedures and advise on improvements. </w:t>
              <w:br w:type="textWrapping"/>
            </w:r>
            <w:r>
              <w:rPr>
                <w:rFonts w:ascii="Arial" w:hAnsi="Arial" w:eastAsia="Arial" w:cs="Arial"/>
                <w:lang w:val="en-GB" w:eastAsia="en-GB" w:bidi="en-GB"/>
              </w:rPr>
              <w:t xml:space="preserve">10. Evidence of ability to work unsupervised to deadlines, planning and setting priorities for own work. </w:t>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Desirable Criteria </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lang w:val="en-GB" w:eastAsia="en-GB" w:bidi="en-GB"/>
              </w:rPr>
              <w:t xml:space="preserve">1. Degree or an equivalent qualification or equivalent work-related experience. </w:t>
              <w:br w:type="textWrapping"/>
            </w:r>
            <w:r>
              <w:rPr>
                <w:rFonts w:ascii="Arial" w:hAnsi="Arial" w:eastAsia="Arial" w:cs="Arial"/>
                <w:lang w:val="en-GB" w:eastAsia="en-GB" w:bidi="en-GB"/>
              </w:rPr>
              <w:t xml:space="preserve">2. Experience of working in a Higher Education environment. </w:t>
              <w:br w:type="textWrapping"/>
            </w:r>
            <w:r>
              <w:rPr>
                <w:rFonts w:ascii="Arial" w:hAnsi="Arial" w:eastAsia="Arial" w:cs="Arial"/>
                <w:lang w:val="en-GB" w:eastAsia="en-GB" w:bidi="en-GB"/>
              </w:rPr>
              <w:t xml:space="preserve">3. Experience of using Worktribe system</w:t>
              <w:br w:type="textWrapping"/>
            </w:r>
            <w:r>
              <w:rPr>
                <w:rFonts w:ascii="Arial" w:hAnsi="Arial" w:eastAsia="Arial" w:cs="Arial"/>
                <w:lang w:val="en-GB" w:eastAsia="en-GB" w:bidi="en-GB"/>
              </w:rPr>
              <w:t xml:space="preserve">4. Fluency in Welsh.</w:t>
              <w:br w:type="textWrapping"/>
            </w:r>
            <w:r>
              <w:rPr>
                <w:rFonts w:ascii="Arial" w:hAnsi="Arial" w:eastAsia="Arial" w:cs="Arial"/>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8145"/>
      </w:tblGrid>
      <w:tr>
        <w:tc>
          <w:tcPr>
            <w:tcW w:w="8145"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Additional Information:</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8190"/>
      </w:tblGrid>
      <w:tr>
        <w:tc>
          <w:tcPr>
            <w:tcW w:w="819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u w:val="single"/>
                <w:lang w:val="en-GB" w:eastAsia="en-GB" w:bidi="en-GB"/>
              </w:rPr>
              <w:t xml:space="preserve">The Research Service</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lang w:val="en-GB" w:eastAsia="en-GB" w:bidi="en-GB"/>
              </w:rPr>
              <w:t xml:space="preserve">Cardiff is an ambitious and innovative university located in a beautiful and thriving capital city. Our world-leading research was ranked 5th for quality amongst UK universities in the 2014 Research Excellence Framework and we provide an educationally outstanding experience for our 30,000 students. With an annual budget in excess of £500 million and around 6,000 staff, Cardiff is a member of the Russell Group of the 24 leading UK research-intensive universities. The University has 24 academic schools grouped into three colleges: Biomedical &amp; Life Sciences, Physical Sciences &amp; Engineering and Arts, Humanities &amp; Social Sciences.</w:t>
              <w:br w:type="textWrapping"/>
            </w:r>
            <w:r>
              <w:rPr>
                <w:rFonts w:ascii="Arial" w:hAnsi="Arial" w:eastAsia="Arial" w:cs="Arial"/>
                <w:lang w:val="en-GB" w:eastAsia="en-GB" w:bidi="en-GB"/>
              </w:rPr>
              <w:br w:type="textWrapping"/>
            </w:r>
            <w:r>
              <w:rPr>
                <w:rFonts w:ascii="Arial" w:hAnsi="Arial" w:eastAsia="Arial" w:cs="Arial"/>
                <w:lang w:val="en-GB" w:eastAsia="en-GB" w:bidi="en-GB"/>
              </w:rPr>
              <w:t xml:space="preserve">The University’s ambition is to rank consistently among the top 100 universities in the world. Cardiff is also developing its Innovation System through a focused programme of investment in people and infrastructure.  Research funding secured from competitive, external sources exceeds £100 million annually and the University aims to grow this further through winning grants from a wide range of national and global sources.</w:t>
              <w:br w:type="textWrapping"/>
            </w:r>
            <w:r>
              <w:rPr>
                <w:rFonts w:ascii="Arial" w:hAnsi="Arial" w:eastAsia="Arial" w:cs="Arial"/>
                <w:lang w:val="en-GB" w:eastAsia="en-GB" w:bidi="en-GB"/>
              </w:rPr>
              <w:br w:type="textWrapping"/>
            </w:r>
            <w:r>
              <w:rPr>
                <w:rFonts w:ascii="Arial" w:hAnsi="Arial" w:eastAsia="Arial" w:cs="Arial"/>
                <w:lang w:val="en-GB" w:eastAsia="en-GB" w:bidi="en-GB"/>
              </w:rPr>
              <w:t xml:space="preserve">The Research Service supports the University’s research community in initiating and delivering research and innovation activities. Led by the Director, Vanessa Cuthill, we provides services via over 100 expert staff organised in five specialist teams: Research Grants Office; Research Integrity, Governance and Ethics; Research Development; Research Commercialisation and Impact; Research Strategy and Operations and Business Engagement and Partnerships. The Department works closely with academic and professional services staff from all areas of the institution.</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Hyperlink">
    <w:name w:val="Hyperlink"/>
    <w:qFormat/>
    <w:rPr>
      <w:color w:val="467886"/>
      <w:u w:val="single"/>
      <w:rtl w:val="off"/>
    </w:rPr>
  </w:style>
  <w:style w:type="character" w:styleId="UnresolvedMention">
    <w:name w:val="Unresolved Mention"/>
    <w:qFormat/>
    <w:rPr>
      <w:color w:val="605E5C"/>
      <w:shd w:val="clear" w:color="auto" w:fill="E1DFDD"/>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Evans</dc:creator>
  <dcterms:created xsi:type="dcterms:W3CDTF">2026-05-01T13:03:00Z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f939b0ee-70c3-4c43-960f-3cd0829d7fd4</vt:lpwstr>
  </property>
</Properties>
</file>