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Main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undertake a full teaching load, including the development, delivery and evaluation of modules within the undergraduate and post-graduate provision within the School, </w:t>
      </w:r>
      <w:r>
        <w:rPr>
          <w:rFonts w:ascii="Times New Roman" w:hAnsi="Times New Roman" w:eastAsia="Times New Roman" w:cs="Times New Roman"/>
          <w:sz w:val="24"/>
          <w:szCs w:val="24"/>
          <w:u w:val="single"/>
          <w:lang w:val="en-GB" w:eastAsia="en-GB" w:bidi="en-GB"/>
        </w:rPr>
        <w:t xml:space="preserve">with a particular need in the areas of Land, Equity &amp; Trusts, Medical Law, Public Law and Tort.</w:t>
      </w:r>
      <w:r>
        <w:rPr>
          <w:rFonts w:ascii="Times New Roman" w:hAnsi="Times New Roman" w:eastAsia="Times New Roman" w:cs="Times New Roman"/>
          <w:sz w:val="24"/>
          <w:szCs w:val="24"/>
          <w:lang w:val="en-GB" w:eastAsia="en-GB" w:bidi="en-GB"/>
        </w:rPr>
        <w:t xml:space="preserve"> To supervise undergraduate and Master’s students and to carry out administrative duties within the work area as required. To pursue excellence in teaching and inspire others to do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Independently contribute to module and curriculum development and lead modules at undergraduate and postgraduate levels, inspiring students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color w:val="000000"/>
          <w:sz w:val="24"/>
          <w:szCs w:val="24"/>
          <w:lang w:val="en-GB" w:eastAsia="en-GB" w:bidi="en-GB"/>
        </w:rPr>
      </w:pPr>
      <w:r>
        <w:rPr>
          <w:rFonts w:ascii="Times New Roman" w:hAnsi="Times New Roman" w:eastAsia="Times New Roman" w:cs="Times New Roman"/>
          <w:sz w:val="24"/>
          <w:szCs w:val="24"/>
          <w:lang w:val="en-GB" w:eastAsia="en-GB" w:bidi="en-GB"/>
        </w:rPr>
        <w:t xml:space="preserve">Manage projects relating to own area of work and the organisation of external activities such as placements.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color w:val="000000"/>
          <w:sz w:val="24"/>
          <w:szCs w:val="24"/>
          <w:lang w:val="en-GB" w:eastAsia="en-GB" w:bidi="en-GB"/>
        </w:rPr>
      </w:pPr>
      <w:r>
        <w:rPr>
          <w:rFonts w:ascii="Times New Roman" w:hAnsi="Times New Roman" w:eastAsia="Times New Roman" w:cs="Times New Roman"/>
          <w:sz w:val="24"/>
          <w:szCs w:val="24"/>
          <w:lang w:val="en-GB" w:eastAsia="en-GB" w:bidi="en-GB"/>
        </w:rPr>
        <w:t xml:space="preserve">Supervise undergraduate and Master’s student dissertations and where appropriate placements.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Supply pastoral care through both acting as a Personal Tutor and providing support and guidance to students, building and establishing trust</w:t>
      </w:r>
      <w:r>
        <w:rPr>
          <w:rFonts w:ascii="Times New Roman" w:hAnsi="Times New Roman" w:eastAsia="Times New Roman" w:cs="Times New Roman"/>
          <w:b/>
          <w:bCs/>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Scholarship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sz w:val="24"/>
          <w:szCs w:val="24"/>
          <w:lang w:val="en-US" w:eastAsia="en-US" w:bidi="en-US"/>
        </w:rPr>
      </w:pPr>
      <w:r>
        <w:rPr>
          <w:rFonts w:ascii="Times New Roman" w:hAnsi="Times New Roman" w:eastAsia="Times New Roman" w:cs="Times New Roman"/>
          <w:sz w:val="24"/>
          <w:szCs w:val="24"/>
          <w:lang w:val="en-US" w:eastAsia="en-US" w:bidi="en-US"/>
        </w:rPr>
        <w:t xml:space="preserve">Contribute to scholarship in the area of work through participation in conferences, seminars and other academic and professional forums to disseminate the results of individual scholarship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sz w:val="24"/>
          <w:szCs w:val="24"/>
          <w:lang w:val="en-US" w:eastAsia="en-US" w:bidi="en-US"/>
        </w:rPr>
      </w:pPr>
      <w:r>
        <w:rPr>
          <w:rFonts w:ascii="Times New Roman" w:hAnsi="Times New Roman" w:eastAsia="Times New Roman" w:cs="Times New Roman"/>
          <w:sz w:val="24"/>
          <w:szCs w:val="24"/>
          <w:lang w:val="en-US" w:eastAsia="en-US" w:bidi="en-US"/>
        </w:rPr>
        <w:t xml:space="preserve">Engage in scholarly activity through journal articles and/or outputs which advance knowledge within </w:t>
      </w:r>
      <w:r>
        <w:rPr>
          <w:rFonts w:ascii="Times New Roman" w:hAnsi="Times New Roman" w:eastAsia="Times New Roman" w:cs="Times New Roman"/>
          <w:color w:val="242424"/>
          <w:sz w:val="24"/>
          <w:szCs w:val="24"/>
          <w:lang w:val="en-US" w:eastAsia="en-US" w:bidi="en-US"/>
        </w:rPr>
        <w:t xml:space="preserve">law, legal education or the Scholarship of Learning and Teaching.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sz w:val="24"/>
          <w:szCs w:val="24"/>
          <w:lang w:val="en-US" w:eastAsia="en-US" w:bidi="en-US"/>
        </w:rPr>
      </w:pPr>
      <w:r>
        <w:rPr>
          <w:rFonts w:ascii="Times New Roman" w:hAnsi="Times New Roman" w:eastAsia="Times New Roman" w:cs="Times New Roman"/>
          <w:sz w:val="24"/>
          <w:szCs w:val="24"/>
          <w:lang w:val="en-US" w:eastAsia="en-US" w:bidi="en-US"/>
        </w:rPr>
        <w:t xml:space="preserve">Contribute to scholarship through interdisciplinary working with individuals and teams within, and external to, the wider university community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Carry out work associated with examinations (setting and marking papers and providing constructive feedback to students), administration, participation in committee work</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Participate in School administration and activities to promote the School and its work to the wider University and the outside world</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Any other duties not included above, but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It is the University’s policy to use the person specification as a key tool for short-listing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 formatting this by using each criteria as a sub-heading and providing your relevant experience/evidence below each sub-heading. It is crucial that you save your supporting statement with the vacancy number (eg. 246) in the filename as failure to do so may result in it being omitted from your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eastAsia="Times New Roman" w:cs="Times New Roman"/>
          <w:color w:val="000000"/>
          <w:sz w:val="24"/>
          <w:szCs w:val="24"/>
          <w:u w:val="single"/>
          <w:lang w:val="en-GB" w:eastAsia="en-GB" w:bidi="en-GB"/>
        </w:rPr>
      </w:pPr>
      <w:r>
        <w:rPr>
          <w:rFonts w:ascii="Times New Roman" w:hAnsi="Times New Roman" w:eastAsia="Times New Roman" w:cs="Times New Roman"/>
          <w:color w:val="000000"/>
          <w:sz w:val="24"/>
          <w:szCs w:val="24"/>
          <w:u w:val="single"/>
          <w:lang w:val="en-GB" w:eastAsia="en-GB" w:bidi="en-GB"/>
        </w:rPr>
        <w:t xml:space="preserve">Qualifications and Education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Postgraduate degree at PhD level in a related subject area or relevant professional experience, either in legal practice or higher education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color w:val="000000"/>
          <w:lang w:val="en-GB" w:eastAsia="en-GB" w:bidi="en-GB"/>
        </w:rPr>
        <w:t xml:space="preserve">Fellowship of the Higher Education Academy, or equivalent qualification or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color w:val="000000"/>
          <w:sz w:val="24"/>
          <w:szCs w:val="24"/>
          <w:u w:val="single"/>
          <w:lang w:val="en-GB" w:eastAsia="en-GB" w:bidi="en-GB"/>
        </w:rPr>
        <w:t xml:space="preserve">Knowledge, Skills and Experience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Significant teaching experience at a high level of quality at undergraduate/postgraduate level, </w:t>
      </w:r>
      <w:r>
        <w:rPr>
          <w:rFonts w:ascii="Times New Roman" w:hAnsi="Times New Roman" w:eastAsia="Times New Roman" w:cs="Times New Roman"/>
          <w:u w:val="single"/>
          <w:lang w:val="en-GB" w:eastAsia="en-GB" w:bidi="en-GB"/>
        </w:rPr>
        <w:t xml:space="preserve"> with a particular need in the areas of Land, Equity &amp; Trusts, Medical Law, Public Law and Tort</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Growing national reputation within academic field</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Ability to design, deliver and continuously develop modules across the School’s teaching programmes.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eastAsia="Times New Roman" w:cs="Times New Roman"/>
          <w:color w:val="000000"/>
          <w:sz w:val="24"/>
          <w:szCs w:val="24"/>
          <w:u w:val="single"/>
          <w:lang w:val="en-GB" w:eastAsia="en-GB" w:bidi="en-GB"/>
        </w:rPr>
      </w:pPr>
      <w:r>
        <w:rPr>
          <w:rFonts w:ascii="Times New Roman" w:hAnsi="Times New Roman" w:eastAsia="Times New Roman" w:cs="Times New Roman"/>
          <w:color w:val="000000"/>
          <w:sz w:val="24"/>
          <w:szCs w:val="24"/>
          <w:lang w:val="en-GB" w:eastAsia="en-GB" w:bidi="en-GB"/>
        </w:rPr>
        <w:br w:type="textWrapping"/>
      </w:r>
      <w:r>
        <w:rPr>
          <w:rFonts w:ascii="Times New Roman" w:hAnsi="Times New Roman" w:eastAsia="Times New Roman" w:cs="Times New Roman"/>
          <w:color w:val="000000"/>
          <w:sz w:val="24"/>
          <w:szCs w:val="24"/>
          <w:u w:val="single"/>
          <w:lang w:val="en-GB" w:eastAsia="en-GB" w:bidi="en-GB"/>
        </w:rPr>
        <w:t xml:space="preserve">Pastoral, Communication and Team Working</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Excellent communication skills with the ability to present complex ideas and concepts clearly and confidently to others using high level skills and a range of media</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color w:val="000000"/>
          <w:lang w:val="en-GB" w:eastAsia="en-GB" w:bidi="en-GB"/>
        </w:rPr>
      </w:pPr>
      <w:r>
        <w:rPr>
          <w:rFonts w:ascii="Times New Roman" w:hAnsi="Times New Roman" w:eastAsia="Times New Roman" w:cs="Times New Roman"/>
          <w:color w:val="000000"/>
          <w:lang w:val="en-GB" w:eastAsia="en-GB" w:bidi="en-GB"/>
        </w:rPr>
        <w:t xml:space="preserve">The ability to provide appropriate pastoral support to students, appreciate the needs of individual students and their circumstances and to act as a personal tutor.</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color w:val="000000"/>
          <w:lang w:val="en-GB" w:eastAsia="en-GB" w:bidi="en-GB"/>
        </w:rPr>
        <w:t xml:space="preserve">Ability to act as module leader and co-ordinate with others to ensure student needs and expectations are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eastAsia="Times New Roman" w:cs="Times New Roman"/>
          <w:color w:val="000000"/>
          <w:sz w:val="24"/>
          <w:szCs w:val="24"/>
          <w:u w:val="single"/>
          <w:lang w:val="en-GB" w:eastAsia="en-GB" w:bidi="en-GB"/>
        </w:rPr>
      </w:pPr>
      <w:r>
        <w:rPr>
          <w:rFonts w:ascii="Times New Roman" w:hAnsi="Times New Roman" w:eastAsia="Times New Roman" w:cs="Times New Roman"/>
          <w:color w:val="000000"/>
          <w:sz w:val="24"/>
          <w:szCs w:val="24"/>
          <w:u w:val="single"/>
          <w:lang w:val="en-GB" w:eastAsia="en-GB" w:bidi="en-GB"/>
        </w:rPr>
        <w:t xml:space="preserve">Other</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Proven ability to demonstrate creativity, innovation and teamworking.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Desirable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Relevant professional qualification(s)</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Proven ability to teach legal skills/contribute to clinical work modules</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Proven ability to work without close supervision</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Proven ability to adapt to the changing requirements of the Higher Education community.</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ability to participate in and develop both internal and external networks and utilise them to enhance the teaching and research activities of the School.</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 willingness to take responsibility for academically related administration.</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 willingness to teach on weekends if required in relation to postgraduate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imes New Roman" w:hAnsi="Times New Roman" w:eastAsia="Times New Roman" w:cs="Times New Roman"/>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US" w:eastAsia="en-US" w:bidi="en-US"/>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000000"/>
        <w:position w:val="0"/>
        <w:sz w:val="24"/>
        <w:u w:val="none"/>
        <w:shd w:val="clear" w:color="auto" w:fill="auto"/>
      </w:rPr>
    </w:lvl>
  </w:abstractNum>
  <w:abstractNum w:abstractNumId="3">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2"/>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lvlOverride>
  </w:num>
  <w:num w:numId="5">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spacing w:after="160" w:line="278" w:lineRule="auto"/>
      <w:ind w:left="720"/>
    </w:pPr>
    <w:rPr>
      <w:rFonts w:ascii="Aptos" w:hAnsi="Aptos" w:eastAsia="Aptos" w:cs="Aptos"/>
      <w:sz w:val="24"/>
      <w:szCs w:val="24"/>
      <w:lang w:val="en-GB" w:eastAsia="en-GB" w:bidi="en-GB"/>
    </w:rPr>
  </w:style>
  <w:style w:type="paragraph" w:styleId="Heading1">
    <w:name w:val="heading 1"/>
    <w:basedOn w:val="Normal"/>
    <w:next w:val="Normal"/>
    <w:qFormat/>
    <w:pPr>
      <w:keepNext/>
      <w:keepLines/>
      <w:spacing w:before="360" w:after="80" w:line="278" w:lineRule="auto"/>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line="278" w:lineRule="auto"/>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line="278" w:lineRule="auto"/>
      <w:outlineLvl w:val="2"/>
    </w:pPr>
    <w:rPr>
      <w:rFonts w:ascii="Aptos" w:hAnsi="Aptos" w:eastAsia="Aptos" w:cs="Aptos"/>
      <w:color w:val="0F4761"/>
      <w:sz w:val="28"/>
      <w:szCs w:val="28"/>
      <w:lang w:val="en-GB" w:eastAsia="en-GB" w:bidi="en-GB"/>
    </w:rPr>
  </w:style>
  <w:style w:type="paragraph" w:styleId="Heading4">
    <w:name w:val="heading 4"/>
    <w:basedOn w:val="Normal"/>
    <w:next w:val="Normal"/>
    <w:qFormat/>
    <w:pPr>
      <w:keepNext/>
      <w:keepLines/>
      <w:spacing w:before="80" w:after="40" w:line="278" w:lineRule="auto"/>
      <w:outlineLvl w:val="3"/>
    </w:pPr>
    <w:rPr>
      <w:rFonts w:ascii="Aptos" w:hAnsi="Aptos" w:eastAsia="Aptos" w:cs="Aptos"/>
      <w:i/>
      <w:iCs/>
      <w:color w:val="0F4761"/>
      <w:sz w:val="24"/>
      <w:szCs w:val="24"/>
      <w:lang w:val="en-GB" w:eastAsia="en-GB" w:bidi="en-GB"/>
    </w:rPr>
  </w:style>
  <w:style w:type="paragraph" w:styleId="Heading5">
    <w:name w:val="heading 5"/>
    <w:basedOn w:val="Normal"/>
    <w:next w:val="Normal"/>
    <w:qFormat/>
    <w:pPr>
      <w:keepNext/>
      <w:keepLines/>
      <w:spacing w:before="80" w:after="40" w:line="278" w:lineRule="auto"/>
      <w:outlineLvl w:val="4"/>
    </w:pPr>
    <w:rPr>
      <w:rFonts w:ascii="Aptos" w:hAnsi="Aptos" w:eastAsia="Aptos" w:cs="Aptos"/>
      <w:color w:val="0F4761"/>
      <w:sz w:val="24"/>
      <w:szCs w:val="24"/>
      <w:lang w:val="en-GB" w:eastAsia="en-GB" w:bidi="en-GB"/>
    </w:rPr>
  </w:style>
  <w:style w:type="paragraph" w:styleId="Heading6">
    <w:name w:val="heading 6"/>
    <w:basedOn w:val="Normal"/>
    <w:next w:val="Normal"/>
    <w:qFormat/>
    <w:pPr>
      <w:keepNext/>
      <w:keepLines/>
      <w:spacing w:before="40" w:after="0" w:line="278" w:lineRule="auto"/>
      <w:outlineLvl w:val="5"/>
    </w:pPr>
    <w:rPr>
      <w:rFonts w:ascii="Aptos" w:hAnsi="Aptos" w:eastAsia="Aptos" w:cs="Aptos"/>
      <w:i/>
      <w:iCs/>
      <w:color w:val="595959"/>
      <w:sz w:val="24"/>
      <w:szCs w:val="24"/>
      <w:lang w:val="en-GB" w:eastAsia="en-GB" w:bidi="en-GB"/>
    </w:rPr>
  </w:style>
  <w:style w:type="paragraph" w:styleId="Heading7">
    <w:name w:val="heading 7"/>
    <w:basedOn w:val="Normal"/>
    <w:next w:val="Normal"/>
    <w:qFormat/>
    <w:pPr>
      <w:keepNext/>
      <w:keepLines/>
      <w:spacing w:before="40" w:after="0" w:line="278" w:lineRule="auto"/>
      <w:outlineLvl w:val="6"/>
    </w:pPr>
    <w:rPr>
      <w:rFonts w:ascii="Aptos" w:hAnsi="Aptos" w:eastAsia="Aptos" w:cs="Aptos"/>
      <w:color w:val="595959"/>
      <w:sz w:val="24"/>
      <w:szCs w:val="24"/>
      <w:lang w:val="en-GB" w:eastAsia="en-GB" w:bidi="en-GB"/>
    </w:rPr>
  </w:style>
  <w:style w:type="paragraph" w:styleId="Heading8">
    <w:name w:val="heading 8"/>
    <w:basedOn w:val="Normal"/>
    <w:next w:val="Normal"/>
    <w:qFormat/>
    <w:pPr>
      <w:keepNext/>
      <w:keepLines/>
      <w:spacing w:after="0" w:line="278" w:lineRule="auto"/>
      <w:outlineLvl w:val="7"/>
    </w:pPr>
    <w:rPr>
      <w:rFonts w:ascii="Aptos" w:hAnsi="Aptos" w:eastAsia="Aptos" w:cs="Aptos"/>
      <w:i/>
      <w:iCs/>
      <w:color w:val="272727"/>
      <w:sz w:val="24"/>
      <w:szCs w:val="24"/>
      <w:lang w:val="en-GB" w:eastAsia="en-GB" w:bidi="en-GB"/>
    </w:rPr>
  </w:style>
  <w:style w:type="paragraph" w:styleId="Heading9">
    <w:name w:val="heading 9"/>
    <w:basedOn w:val="Normal"/>
    <w:next w:val="Normal"/>
    <w:qFormat/>
    <w:pPr>
      <w:keepNext/>
      <w:keepLines/>
      <w:spacing w:after="0" w:line="278" w:lineRule="auto"/>
      <w:outlineLvl w:val="8"/>
    </w:pPr>
    <w:rPr>
      <w:rFonts w:ascii="Aptos" w:hAnsi="Aptos" w:eastAsia="Aptos" w:cs="Aptos"/>
      <w:color w:val="272727"/>
      <w:sz w:val="24"/>
      <w:szCs w:val="24"/>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spacing w:after="160" w:line="278" w:lineRule="auto"/>
    </w:pPr>
    <w:rPr>
      <w:rFonts w:ascii="Aptos" w:hAnsi="Aptos" w:eastAsia="Aptos" w:cs="Aptos"/>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after="160" w:line="278" w:lineRule="auto"/>
      <w:jc w:val="center"/>
    </w:pPr>
    <w:rPr>
      <w:rFonts w:ascii="Aptos" w:hAnsi="Aptos" w:eastAsia="Aptos" w:cs="Aptos"/>
      <w:i/>
      <w:iCs/>
      <w:color w:val="404040"/>
      <w:sz w:val="24"/>
      <w:szCs w:val="24"/>
      <w:lang w:val="en-GB" w:eastAsia="en-GB" w:bidi="en-GB"/>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line="278" w:lineRule="auto"/>
      <w:ind w:left="864" w:right="864"/>
      <w:jc w:val="center"/>
    </w:pPr>
    <w:rPr>
      <w:rFonts w:ascii="Aptos" w:hAnsi="Aptos" w:eastAsia="Aptos" w:cs="Aptos"/>
      <w:i/>
      <w:iCs/>
      <w:color w:val="0F4761"/>
      <w:sz w:val="24"/>
      <w:szCs w:val="24"/>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character" w:styleId="Hyperlink">
    <w:name w:val="Hyperlink"/>
    <w:qFormat/>
    <w:rPr>
      <w:color w:val="467886"/>
      <w:u w:val="single"/>
      <w:rtl w:val="off"/>
    </w:rPr>
  </w:style>
  <w:style w:type="character" w:styleId="normaltextrun" w:customStyle="1">
    <w:name w:val="normaltextrun"/>
    <w:qFormat/>
    <w:rPr>
      <w:rtl w:val="off"/>
    </w:rPr>
  </w:style>
  <w:style w:type="character" w:styleId="scxw84022594" w:customStyle="1">
    <w:name w:val="scxw84022594"/>
    <w:qFormat/>
    <w:rPr>
      <w:rtl w:val="off"/>
    </w:rPr>
  </w:style>
  <w:style w:type="paragraph" w:styleId="CommentText">
    <w:name w:val="annotation text"/>
    <w:basedOn w:val="Normal"/>
    <w:next w:val="CommentText"/>
    <w:qFormat/>
    <w:pPr>
      <w:spacing w:line="240" w:lineRule="auto"/>
    </w:pPr>
    <w:rPr>
      <w:sz w:val="20"/>
      <w:szCs w:val="20"/>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Reference">
    <w:name w:val="annotation reference"/>
    <w:qFormat/>
    <w:rPr>
      <w:sz w:val="16"/>
      <w:szCs w:val="16"/>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Windsor</dc:creator>
  <dcterms:created xsi:type="dcterms:W3CDTF">2026-05-14T11:59:00Z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0x010100B8EA5302B9BA0E4DBF5F7397E62DB9F1</vt:lpwstr>
  </property>
</Properties>
</file>