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32"/>
          <w:szCs w:val="32"/>
          <w:lang w:val="en-GB" w:eastAsia="en-GB" w:bidi="en-GB"/>
        </w:rPr>
      </w:pPr>
      <w:r>
        <w:drawing>
          <wp:anchor distT="0" distB="0" distL="114300" distR="114300" simplePos="0" relativeHeight="251659263" behindDoc="0" locked="0" layoutInCell="1" hidden="0" allowOverlap="1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wrapSquare wrapText="bothSides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b/>
          <w:bCs/>
          <w:sz w:val="32"/>
          <w:szCs w:val="32"/>
          <w:lang w:val="en-GB" w:eastAsia="en-GB" w:bidi="en-GB"/>
        </w:rPr>
        <w:t xml:space="preserve">Job Description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60"/>
      </w:tblGrid>
      <w:tr>
        <w:trPr>
          <w:trHeight w:val="455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Job Evaluation Code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en-GB" w:eastAsia="en-GB" w:bidi="en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6866"/>
      </w:tblGrid>
      <w:tr>
        <w:trPr>
          <w:trHeight w:val="407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Job Title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Research Assistant</w:t>
            </w:r>
          </w:p>
        </w:tc>
      </w:tr>
      <w:tr>
        <w:trPr>
          <w:trHeight w:val="413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School/Department/College</w:t>
            </w:r>
          </w:p>
        </w:tc>
        <w:tc>
          <w:tcPr>
            <w:tcW w:w="686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Medic/Dementia Research Institute/CBMLS</w:t>
            </w:r>
          </w:p>
        </w:tc>
      </w:tr>
      <w:tr>
        <w:trPr>
          <w:trHeight w:val="419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Job Grade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5</w:t>
            </w:r>
          </w:p>
        </w:tc>
      </w:tr>
      <w:tr>
        <w:trPr>
          <w:trHeight w:val="419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Career Pathway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Research 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866"/>
      </w:tblGrid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Post Responsible To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Julie Williams</w:t>
            </w: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Posts Responsible For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Pathological assessment of tissue sections and related samples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Main function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contribute to research within specialist area of dementia research, carrying out supporting work that helps lead to the publishing of high-quality research. To pursue excellence in research and to inspire others to do the same.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Main Duties and Responsibilities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undertake research, e.g. by planning, preparing, setting up, conducting and recording the outcome of experiments (primarily immunofluorescent tissue staining)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Actively participate within the research group, communicating and presenting research at meetings, through publications and other recognised avenues as appropriate, ensuring information is communicated to internal and external partners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contribute and support research publications and presentations as required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contribute and support research funding bids as required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analyse and communicate complex ideas, concepts and data using appropriate methods and packages </w:t>
              <w:br w:type="textWrapping"/>
            </w: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resolve issues and support colleagues in devising procedures required to ensure accurate and timely reporting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generate research output and contribute to the development of  independent  and original ideas as appropriate</w:t>
              <w:br w:type="textWrapping"/>
            </w: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provide support in research activities for undergraduate courses and research programmes and provide guidance to other members of staff within the research team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maintain and update area of specialist knowledge, researching and critically appraising relevant literature within the area.</w:t>
            </w:r>
          </w:p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b/>
                <w:bCs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Other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participate in School administration and activities to promote the School and its work to the wider University and the outside world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undergo personal and professional development that is appropriate to and which will enhance performance.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720" w:hanging="360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ensure that an understanding of the importance of confidentiality is applied when undertaking all duties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720" w:hanging="360"/>
              <w:rPr>
                <w:rFonts w:ascii="Arial" w:hAnsi="Arial" w:eastAsia="Arial" w:cs="Arial"/>
                <w:b/>
                <w:bCs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To abide by the University policies on Health and Safety and Equality and Diversity</w:t>
            </w:r>
          </w:p>
          <w:p>
            <w:pPr>
              <w:pStyle w:val="NoSpacing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rPr>
                <w:rFonts w:ascii="Arial" w:hAnsi="Arial" w:eastAsia="Arial" w:cs="Arial"/>
                <w:b/>
                <w:bCs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Any other duties not included above, but consistent with the role.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0"/>
          <w:szCs w:val="2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0"/>
          <w:szCs w:val="20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en-GB" w:eastAsia="en-GB" w:bidi="en-GB"/>
        </w:rPr>
      </w:pPr>
      <w:r>
        <w:rPr>
          <w:rFonts w:ascii="Arial" w:hAnsi="Arial" w:eastAsia="Arial" w:cs="Arial"/>
          <w:b/>
          <w:bCs/>
          <w:sz w:val="20"/>
          <w:szCs w:val="20"/>
          <w:lang w:val="en-GB" w:eastAsia="en-GB" w:bidi="en-GB"/>
        </w:rPr>
        <w:t xml:space="preserve">Person Specification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rPr>
          <w:trHeight w:val="455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Essential Criteria 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Qualifications and Education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A degree in a relevant discipline, or equivalent experience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Knowledge, Skills and Experience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Knowledge of research methods and techniques within the specialist field (tissue staining and analysis)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Proven ability to analyse complex information and summarise appropriately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Knowledge and understanding of competitive research funding to be able to help develop applications to funding bodies 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br w:type="textWrapping"/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Communication and Team Working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Proven communication skills, including presentation to various audiences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Excellent organisational and team-working skills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Other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Proven ability to demonstrate creativity, innovation and teamworking within work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</w:tc>
      </w:tr>
      <w:tr>
        <w:trPr>
          <w:trHeight w:val="433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Desirable Criteria 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en-GB" w:eastAsia="en-GB" w:bidi="en-GB"/>
              </w:rPr>
              <w:t xml:space="preserve">Postgraduate degree at PhD level (or nearing completion / submission) in a related subject (e.g. neuroscience, immunology or similar discipline with similar skill set) area or relevant industrial experience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Previous experience with some or all of the following: Immunofluorescent staining; Confocal Imaging; Tissue processing; Image analysis.</w:t>
              <w:br w:type="textWrapping"/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Proven ability to work without close supervision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  <w:t xml:space="preserve"> Proven ability to adapt to the changing requirements of the Higher Education community. </w:t>
            </w: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0"/>
              <w:rPr>
                <w:rFonts w:ascii="Arial" w:hAnsi="Arial" w:eastAsia="Arial" w:cs="Arial"/>
                <w:strike/>
                <w:sz w:val="20"/>
                <w:szCs w:val="20"/>
                <w:lang w:val="en-GB" w:eastAsia="en-GB" w:bidi="en-GB"/>
              </w:rPr>
            </w:pP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en-GB" w:eastAsia="en-GB" w:bidi="en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 w:line="240" w:lineRule="auto"/>
        <w:rPr>
          <w:rFonts w:ascii="Arial" w:hAnsi="Arial" w:eastAsia="Arial" w:cs="Arial"/>
          <w:b/>
          <w:bCs/>
          <w:lang w:val="en-GB" w:eastAsia="en-GB" w:bidi="en-GB"/>
        </w:rPr>
      </w:pPr>
      <w:r>
        <w:rPr>
          <w:rFonts w:ascii="Arial" w:hAnsi="Arial" w:eastAsia="Arial" w:cs="Arial"/>
          <w:b/>
          <w:bCs/>
          <w:lang w:val="en-GB" w:eastAsia="en-GB" w:bidi="en-GB"/>
        </w:rPr>
        <w:t xml:space="preserve">Additional Information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1"/>
      </w:tblGrid>
      <w:tr>
        <w:trPr>
          <w:trHeight w:val="170" w:hRule="atLeast"/>
        </w:trPr>
        <w:tc>
          <w:tcPr>
            <w:tcW w:w="9101" w:type="dxa"/>
            <w:tcBorders>
              <w:bottom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Document Control: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828"/>
        <w:gridCol w:w="2228"/>
        <w:gridCol w:w="1071"/>
        <w:gridCol w:w="2580"/>
      </w:tblGrid>
      <w:tr>
        <w:trPr>
          <w:trHeight w:val="315" w:hRule="atLeast"/>
        </w:trPr>
        <w:tc>
          <w:tcPr>
            <w:tcW w:w="1394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Version number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Date modified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Reasons for modification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Review date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D9D9D9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bCs/>
                <w:sz w:val="18"/>
                <w:szCs w:val="18"/>
                <w:lang w:val="en-GB" w:eastAsia="en-GB" w:bidi="en-GB"/>
              </w:rPr>
            </w:pPr>
            <w:r>
              <w:rPr>
                <w:b/>
                <w:bCs/>
                <w:sz w:val="18"/>
                <w:szCs w:val="18"/>
                <w:lang w:val="en-GB" w:eastAsia="en-GB" w:bidi="en-GB"/>
              </w:rPr>
              <w:t xml:space="preserve">Name of document custodian/creator</w:t>
            </w:r>
          </w:p>
        </w:tc>
      </w:tr>
      <w:tr>
        <w:trPr>
          <w:trHeight w:val="170" w:hRule="atLeast"/>
        </w:trPr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 w:val="18"/>
                <w:szCs w:val="18"/>
                <w:lang w:val="en-GB" w:eastAsia="en-GB" w:bidi="en-GB"/>
              </w:rPr>
            </w:pPr>
            <w:r>
              <w:rPr>
                <w:sz w:val="18"/>
                <w:szCs w:val="18"/>
                <w:lang w:val="en-GB" w:eastAsia="en-GB" w:bidi="en-GB"/>
              </w:rPr>
              <w:t xml:space="preserve">2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en-GB" w:eastAsia="en-GB" w:bidi="en-GB"/>
              </w:rPr>
            </w:pPr>
            <w:r>
              <w:rPr>
                <w:sz w:val="18"/>
                <w:szCs w:val="18"/>
                <w:lang w:val="en-GB" w:eastAsia="en-GB" w:bidi="en-GB"/>
              </w:rPr>
              <w:t xml:space="preserve">January 2018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en-GB" w:eastAsia="en-GB" w:bidi="en-GB"/>
              </w:rPr>
            </w:pPr>
            <w:r>
              <w:rPr>
                <w:sz w:val="18"/>
                <w:szCs w:val="18"/>
                <w:lang w:val="en-GB" w:eastAsia="en-GB" w:bidi="en-GB"/>
              </w:rPr>
              <w:t xml:space="preserve">To reflect University changes and requirements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en-GB" w:eastAsia="en-GB" w:bidi="en-GB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en-GB" w:eastAsia="en-GB" w:bidi="en-GB"/>
              </w:rPr>
            </w:pPr>
            <w:r>
              <w:rPr>
                <w:sz w:val="18"/>
                <w:szCs w:val="18"/>
                <w:lang w:val="en-GB" w:eastAsia="en-GB" w:bidi="en-GB"/>
              </w:rPr>
              <w:t xml:space="preserve">HR Reward Manager 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1"/>
      </w:tblGrid>
      <w:tr>
        <w:trPr>
          <w:trHeight w:val="170" w:hRule="atLeast"/>
        </w:trPr>
        <w:tc>
          <w:tcPr>
            <w:tcW w:w="9101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Spacing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18"/>
                <w:szCs w:val="18"/>
                <w:lang w:val="en-GB" w:eastAsia="en-GB" w:bidi="en-GB"/>
              </w:rPr>
            </w:pPr>
            <w:r>
              <w:rPr>
                <w:sz w:val="18"/>
                <w:szCs w:val="18"/>
                <w:lang w:val="en-GB" w:eastAsia="en-GB" w:bidi="en-GB"/>
              </w:rPr>
              <w:t xml:space="preserve">Disclaimer: Hardcopies of this document are considered uncontrolled. Please refer to the HR website for the latest version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18"/>
          <w:szCs w:val="18"/>
          <w:lang w:val="en-GB" w:eastAsia="en-GB" w:bidi="en-GB"/>
        </w:rPr>
      </w:pPr>
    </w:p>
    <w:sectPr>
      <w:headerReference w:type="default" r:id="rId00006"/>
      <w:footerReference w:type="default" r:id="rId00007"/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Footer"/>
      <w:rPr>
        <w:lang w:val="en-GB" w:eastAsia="en-GB" w:bidi="en-GB"/>
      </w:rPr>
    </w:pPr>
  </w:p>
  <w:p>
    <w:pPr>
      <w:pStyle w:val="Footer"/>
      <w:rPr>
        <w:lang w:val="en-GB" w:eastAsia="en-GB" w:bidi="en-GB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Header"/>
      <w:rPr>
        <w:lang w:val="en-GB" w:eastAsia="en-GB" w:bidi="en-GB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0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000000"/>
          <w:position w:val="0"/>
          <w:sz w:val="20"/>
          <w:u w:val="none"/>
          <w:shd w:val="clear" w:color="auto" w:fill="auto"/>
        </w:rPr>
      </w:lvl>
    </w:lvlOverride>
  </w:num>
  <w:num w:numId="4">
    <w:abstractNumId w:val="2"/>
  </w:num>
  <w:num w:numId="5">
    <w:abstractNumId w:val="2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auto"/>
          <w:position w:val="0"/>
          <w:sz w:val="20"/>
          <w:u w:val="none"/>
          <w:shd w:val="clear" w:color="auto" w:fill="auto"/>
        </w:rPr>
      </w:lvl>
    </w:lvlOverride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en-GB" w:eastAsia="en-GB" w:bidi="en-GB"/>
    </w:rPr>
  </w:style>
  <w:style w:type="character" w:styleId="fieldlabel" w:customStyle="1">
    <w:name w:val="fieldlabel"/>
    <w:qFormat/>
    <w:rPr>
      <w:rtl w:val="off"/>
    </w:rPr>
  </w:style>
  <w:style w:type="character" w:styleId="text" w:customStyle="1">
    <w:name w:val="text"/>
    <w:qFormat/>
    <w:rPr>
      <w:rtl w:val="off"/>
    </w:rPr>
  </w:style>
  <w:style w:type="paragraph" w:styleId="BalloonText">
    <w:name w:val="Balloon Text"/>
    <w:basedOn w:val="Normal"/>
    <w:next w:val="BalloonText"/>
    <w:qFormat/>
    <w:pPr>
      <w:spacing w:after="0" w:line="240" w:lineRule="auto"/>
    </w:pPr>
    <w:rPr>
      <w:rFonts w:ascii="Tahoma" w:hAnsi="Tahoma" w:eastAsia="Tahoma" w:cs="Tahoma"/>
      <w:sz w:val="16"/>
      <w:szCs w:val="16"/>
      <w:lang w:val="en-GB" w:eastAsia="en-GB" w:bidi="en-GB"/>
    </w:rPr>
  </w:style>
  <w:style w:type="character" w:styleId="Balloon Text Char" w:customStyle="1">
    <w:name w:val="Balloon Text Char"/>
    <w:qFormat/>
    <w:rPr>
      <w:rFonts w:ascii="Tahoma" w:hAnsi="Tahoma" w:eastAsia="Tahoma" w:cs="Tahoma"/>
      <w:sz w:val="16"/>
      <w:szCs w:val="16"/>
      <w:rtl w:val="off"/>
    </w:rPr>
  </w:style>
  <w:style w:type="character" w:styleId="Header Char" w:customStyle="1">
    <w:name w:val="Header Char"/>
    <w:qFormat/>
    <w:rPr>
      <w:rtl w:val="off"/>
    </w:rPr>
  </w:style>
  <w:style w:type="character" w:styleId="Footer Char" w:customStyle="1">
    <w:name w:val="Footer Char"/>
    <w:qFormat/>
    <w:rPr>
      <w:rtl w:val="off"/>
    </w:rPr>
  </w:style>
  <w:style w:type="paragraph" w:styleId="NoSpacing">
    <w:name w:val="No Spacing"/>
    <w:basedOn w:val="[Normal]"/>
    <w:next w:val="NoSpacing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en-GB" w:eastAsia="en-GB" w:bidi="en-GB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5" Type="http://schemas.openxmlformats.org/officeDocument/2006/relationships/image" Target="media/image0001.jpg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dcterms:created xsi:type="dcterms:W3CDTF">2026-06-17T09:00:00Z</dcterms:created>
</cp:coreProperties>
</file>